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8A454F" w14:textId="28ECE3CC" w:rsidR="00552F11" w:rsidRPr="0096023D" w:rsidRDefault="00764E05" w:rsidP="005349CB">
      <w:pPr>
        <w:spacing w:line="360" w:lineRule="auto"/>
        <w:jc w:val="center"/>
        <w:rPr>
          <w:rFonts w:ascii="Times New Roman" w:hAnsi="Times New Roman" w:cs="Times New Roman"/>
          <w:b/>
          <w:bCs/>
        </w:rPr>
      </w:pPr>
      <w:r w:rsidRPr="0096023D">
        <w:rPr>
          <w:rFonts w:ascii="Times New Roman" w:hAnsi="Times New Roman" w:cs="Times New Roman"/>
          <w:b/>
          <w:bCs/>
        </w:rPr>
        <w:t>Η συνταγματική οργάνωση της διοικητικής δικαιοσύνης</w:t>
      </w:r>
    </w:p>
    <w:p w14:paraId="4784C417" w14:textId="77777777" w:rsidR="00326E89" w:rsidRPr="0096023D" w:rsidRDefault="00326E89" w:rsidP="0096023D">
      <w:pPr>
        <w:spacing w:line="360" w:lineRule="auto"/>
        <w:jc w:val="right"/>
        <w:rPr>
          <w:rFonts w:ascii="Times New Roman" w:hAnsi="Times New Roman" w:cs="Times New Roman"/>
        </w:rPr>
      </w:pPr>
      <w:r w:rsidRPr="0096023D">
        <w:rPr>
          <w:rFonts w:ascii="Times New Roman" w:hAnsi="Times New Roman" w:cs="Times New Roman"/>
        </w:rPr>
        <w:t>Ευγενία Β. Πρεβεδούρου</w:t>
      </w:r>
    </w:p>
    <w:p w14:paraId="4B6372A2" w14:textId="107D0FFA" w:rsidR="00326E89" w:rsidRPr="0096023D" w:rsidRDefault="00326E89" w:rsidP="0096023D">
      <w:pPr>
        <w:spacing w:line="360" w:lineRule="auto"/>
        <w:jc w:val="right"/>
        <w:rPr>
          <w:rFonts w:ascii="Times New Roman" w:hAnsi="Times New Roman" w:cs="Times New Roman"/>
        </w:rPr>
      </w:pPr>
      <w:r w:rsidRPr="0096023D">
        <w:rPr>
          <w:rFonts w:ascii="Times New Roman" w:hAnsi="Times New Roman" w:cs="Times New Roman"/>
        </w:rPr>
        <w:t xml:space="preserve">Καθηγήτρια </w:t>
      </w:r>
      <w:r w:rsidR="0096023D">
        <w:rPr>
          <w:rFonts w:ascii="Times New Roman" w:hAnsi="Times New Roman" w:cs="Times New Roman"/>
        </w:rPr>
        <w:t xml:space="preserve">στη </w:t>
      </w:r>
      <w:r w:rsidRPr="0096023D">
        <w:rPr>
          <w:rFonts w:ascii="Times New Roman" w:hAnsi="Times New Roman" w:cs="Times New Roman"/>
        </w:rPr>
        <w:t>Νομική</w:t>
      </w:r>
      <w:r w:rsidR="0096023D">
        <w:rPr>
          <w:rFonts w:ascii="Times New Roman" w:hAnsi="Times New Roman" w:cs="Times New Roman"/>
        </w:rPr>
        <w:t xml:space="preserve"> </w:t>
      </w:r>
      <w:r w:rsidR="00B14613" w:rsidRPr="0096023D">
        <w:rPr>
          <w:rFonts w:ascii="Times New Roman" w:hAnsi="Times New Roman" w:cs="Times New Roman"/>
        </w:rPr>
        <w:t>Σχολή</w:t>
      </w:r>
      <w:r w:rsidR="0096023D">
        <w:rPr>
          <w:rFonts w:ascii="Times New Roman" w:hAnsi="Times New Roman" w:cs="Times New Roman"/>
        </w:rPr>
        <w:t xml:space="preserve"> του</w:t>
      </w:r>
      <w:r w:rsidR="00B14613" w:rsidRPr="0096023D">
        <w:rPr>
          <w:rFonts w:ascii="Times New Roman" w:hAnsi="Times New Roman" w:cs="Times New Roman"/>
        </w:rPr>
        <w:t xml:space="preserve"> </w:t>
      </w:r>
      <w:r w:rsidRPr="0096023D">
        <w:rPr>
          <w:rFonts w:ascii="Times New Roman" w:hAnsi="Times New Roman" w:cs="Times New Roman"/>
        </w:rPr>
        <w:t>ΑΠΘ</w:t>
      </w:r>
    </w:p>
    <w:p w14:paraId="4131873E" w14:textId="77777777" w:rsidR="00326E89" w:rsidRPr="0096023D" w:rsidRDefault="00326E89" w:rsidP="0096023D">
      <w:pPr>
        <w:spacing w:line="360" w:lineRule="auto"/>
        <w:jc w:val="both"/>
        <w:rPr>
          <w:rFonts w:ascii="Times New Roman" w:hAnsi="Times New Roman" w:cs="Times New Roman"/>
          <w:b/>
          <w:bCs/>
        </w:rPr>
      </w:pPr>
    </w:p>
    <w:p w14:paraId="241E3FEC" w14:textId="07425282" w:rsidR="002B3E78" w:rsidRPr="0096023D" w:rsidRDefault="5481E65C" w:rsidP="0096023D">
      <w:pPr>
        <w:spacing w:line="360" w:lineRule="auto"/>
        <w:jc w:val="both"/>
        <w:rPr>
          <w:rFonts w:ascii="Times New Roman" w:hAnsi="Times New Roman" w:cs="Times New Roman"/>
        </w:rPr>
      </w:pPr>
      <w:r w:rsidRPr="0096023D">
        <w:rPr>
          <w:rFonts w:ascii="Times New Roman" w:hAnsi="Times New Roman" w:cs="Times New Roman"/>
          <w:b/>
          <w:bCs/>
        </w:rPr>
        <w:t>1.</w:t>
      </w:r>
      <w:r w:rsidRPr="0096023D">
        <w:rPr>
          <w:rFonts w:ascii="Times New Roman" w:hAnsi="Times New Roman" w:cs="Times New Roman"/>
        </w:rPr>
        <w:t xml:space="preserve"> Η συζήτηση για τη συνταγματική αναθεώρηση όσον αφορά τη δικαιοσύνη φαίνεται να επικεντρώνεται σε δύο ζητήματα, την επιλογή της ηγεσίας της δικαιοσύνης και την ίδρυση Συνταγματικού Δικαστηρίου, τα οποία συνεπάγονται ανατροπές θεσμών που έχουν λειτουργήσει για αρκετές δεκαετίες και, επομένως, παγιωθεί. Ωστόσο, για την καθημερινότητα του πολίτη και την παροχή αποτελεσματικής και πλήρους δικαστικής προστασίας μεγαλύτερη σημασία έχει η εύρυθμη λειτουργία του πρωτοβάθμιου δικαστηρίου και η κατάρτιση και αφοσίωση στο λειτούργημά του του πρωτοβάθμιου δικαστή, που είναι ο πρώτος και, ίσως, ο μόνος ο οποίος θα κρίνει, τουλάχιστον επί της ουσίας, την υπόθεσή του. Είναι, βεβαίως, αληθές ότι για την παροχή αποτελεσματικής έννομης προστασίας ιδιαίτερη βαρύτητα έχει η ποιότητα των δικονομικών ρυθμίσεων, δηλαδή νομοθετικών και κανονιστικών διατάξεων που τροποποιούνται με άναρχο τρόπο και των οποίων το περιεχόμενο καθορίζεται, σε μεγάλο βαθμό, από τους συνταγματικούς κανόνες για τη δικαιοσύνη. Κατά συνέπεια, η οργάνωση της διοικητικής δικαιοσύνης στο Σύνταγμα διατηρεί την επικαιρότητά της.</w:t>
      </w:r>
    </w:p>
    <w:p w14:paraId="378717E0" w14:textId="77777777" w:rsidR="002B3E78" w:rsidRPr="0096023D" w:rsidRDefault="00764E05" w:rsidP="0096023D">
      <w:pPr>
        <w:spacing w:line="360" w:lineRule="auto"/>
        <w:jc w:val="both"/>
        <w:rPr>
          <w:rFonts w:ascii="Times New Roman" w:hAnsi="Times New Roman" w:cs="Times New Roman"/>
        </w:rPr>
      </w:pPr>
      <w:r w:rsidRPr="0096023D">
        <w:rPr>
          <w:rFonts w:ascii="Times New Roman" w:hAnsi="Times New Roman" w:cs="Times New Roman"/>
          <w:b/>
          <w:bCs/>
        </w:rPr>
        <w:t>2.</w:t>
      </w:r>
      <w:r w:rsidRPr="0096023D">
        <w:rPr>
          <w:rFonts w:ascii="Times New Roman" w:hAnsi="Times New Roman" w:cs="Times New Roman"/>
        </w:rPr>
        <w:t xml:space="preserve"> Το ελληνικό Σύνταγμα περιέχει άκρως διεξοδικές, ακόμη και τεχνικές, δικονομικού τύπου, διατάξεις για τη διοικητική δικαιοσύνη</w:t>
      </w:r>
      <w:r w:rsidR="007B14F2" w:rsidRPr="0096023D">
        <w:rPr>
          <w:rStyle w:val="af8"/>
          <w:rFonts w:ascii="Times New Roman" w:hAnsi="Times New Roman" w:cs="Times New Roman"/>
        </w:rPr>
        <w:footnoteReference w:id="1"/>
      </w:r>
      <w:r w:rsidRPr="0096023D">
        <w:rPr>
          <w:rFonts w:ascii="Times New Roman" w:hAnsi="Times New Roman" w:cs="Times New Roman"/>
        </w:rPr>
        <w:t>. Η προσέγγιση αυτή το διαφοροποιεί</w:t>
      </w:r>
      <w:r w:rsidR="007B14F2" w:rsidRPr="0096023D">
        <w:rPr>
          <w:rFonts w:ascii="Times New Roman" w:hAnsi="Times New Roman" w:cs="Times New Roman"/>
        </w:rPr>
        <w:t xml:space="preserve"> </w:t>
      </w:r>
      <w:r w:rsidRPr="0096023D">
        <w:rPr>
          <w:rFonts w:ascii="Times New Roman" w:hAnsi="Times New Roman" w:cs="Times New Roman"/>
        </w:rPr>
        <w:t xml:space="preserve">από τα Συντάγματα κρατών των οποίων το δικονομικό σύστημα αποτέλεσε πρότυπο για το ελληνικό. Για παράδειγμα, η πρόβλεψη έφεσης και αναίρεσης στο ίδιο το κείμενο του καταστατικού χάρτη προφανώς ξενίζει. Είναι χαρακτηριστικό ότι η μεν Γερμανία, χώρα με ιδιαίτερη ευαισθησία στην προστασία του πολίτη έναντι της δημόσιας εξουσίας, κατοχυρώνει, στο περίφημο άρθρο 19 παρ. 4 του γερμανικού Θεμελιώδους </w:t>
      </w:r>
      <w:r w:rsidRPr="0096023D">
        <w:rPr>
          <w:rFonts w:ascii="Times New Roman" w:hAnsi="Times New Roman" w:cs="Times New Roman"/>
        </w:rPr>
        <w:lastRenderedPageBreak/>
        <w:t>Νόμου, την έννομη προστασία του θιγομένου από τη δημόσια εξουσία</w:t>
      </w:r>
      <w:r w:rsidRPr="0096023D">
        <w:rPr>
          <w:rStyle w:val="ab"/>
          <w:rFonts w:ascii="Times New Roman" w:hAnsi="Times New Roman" w:cs="Times New Roman"/>
        </w:rPr>
        <w:footnoteReference w:id="2"/>
      </w:r>
      <w:r w:rsidRPr="0096023D">
        <w:rPr>
          <w:rFonts w:ascii="Times New Roman" w:hAnsi="Times New Roman" w:cs="Times New Roman"/>
        </w:rPr>
        <w:t xml:space="preserve"> χωρίς περαιτέρω εξειδικεύσεις, ενώ το γαλλικό Σύνταγμα ουδέν διαλαμβάνει για την έννομη προστασία κατά του Δημοσίου ούτε για τις δικαιοδοτικές αρμοδιότητες του </w:t>
      </w:r>
      <w:r w:rsidRPr="0096023D">
        <w:rPr>
          <w:rFonts w:ascii="Times New Roman" w:hAnsi="Times New Roman" w:cs="Times New Roman"/>
          <w:lang w:val="en-US"/>
        </w:rPr>
        <w:t>Conseil</w:t>
      </w:r>
      <w:r w:rsidRPr="0096023D">
        <w:rPr>
          <w:rFonts w:ascii="Times New Roman" w:hAnsi="Times New Roman" w:cs="Times New Roman"/>
        </w:rPr>
        <w:t xml:space="preserve"> </w:t>
      </w:r>
      <w:r w:rsidRPr="0096023D">
        <w:rPr>
          <w:rFonts w:ascii="Times New Roman" w:hAnsi="Times New Roman" w:cs="Times New Roman"/>
          <w:lang w:val="en-US"/>
        </w:rPr>
        <w:t>d</w:t>
      </w:r>
      <w:r w:rsidRPr="0096023D">
        <w:rPr>
          <w:rFonts w:ascii="Times New Roman" w:hAnsi="Times New Roman" w:cs="Times New Roman"/>
        </w:rPr>
        <w:t>’</w:t>
      </w:r>
      <w:r w:rsidRPr="0096023D">
        <w:rPr>
          <w:rFonts w:ascii="Times New Roman" w:hAnsi="Times New Roman" w:cs="Times New Roman"/>
          <w:lang w:val="en-US"/>
        </w:rPr>
        <w:t>Etat</w:t>
      </w:r>
      <w:r w:rsidRPr="0096023D">
        <w:rPr>
          <w:rFonts w:ascii="Times New Roman" w:hAnsi="Times New Roman" w:cs="Times New Roman"/>
        </w:rPr>
        <w:t xml:space="preserve">, που είναι παγκοίνως γνωστό ότι αποτέλεσαν το βασικό </w:t>
      </w:r>
      <w:r w:rsidR="00006434" w:rsidRPr="0096023D">
        <w:rPr>
          <w:rFonts w:ascii="Times New Roman" w:hAnsi="Times New Roman" w:cs="Times New Roman"/>
        </w:rPr>
        <w:t xml:space="preserve">θεσμικό </w:t>
      </w:r>
      <w:r w:rsidRPr="0096023D">
        <w:rPr>
          <w:rFonts w:ascii="Times New Roman" w:hAnsi="Times New Roman" w:cs="Times New Roman"/>
        </w:rPr>
        <w:t>εξαγωγικό προϊόν της Γαλλίας.</w:t>
      </w:r>
    </w:p>
    <w:p w14:paraId="54ABCFBB" w14:textId="77777777" w:rsidR="002B3E78" w:rsidRPr="0096023D" w:rsidRDefault="00764E05" w:rsidP="0096023D">
      <w:pPr>
        <w:spacing w:line="360" w:lineRule="auto"/>
        <w:jc w:val="both"/>
        <w:rPr>
          <w:rFonts w:ascii="Times New Roman" w:hAnsi="Times New Roman" w:cs="Times New Roman"/>
        </w:rPr>
      </w:pPr>
      <w:r w:rsidRPr="0096023D">
        <w:rPr>
          <w:rFonts w:ascii="Times New Roman" w:hAnsi="Times New Roman" w:cs="Times New Roman"/>
          <w:b/>
          <w:bCs/>
        </w:rPr>
        <w:t>3.</w:t>
      </w:r>
      <w:r w:rsidRPr="0096023D">
        <w:rPr>
          <w:rFonts w:ascii="Times New Roman" w:hAnsi="Times New Roman" w:cs="Times New Roman"/>
        </w:rPr>
        <w:t xml:space="preserve"> Οι συνταγματικές ρυθμίσεις για τη διοικητική δικαιοσύνη εντοπίζονται στις διατάξεις του άρθρου 94 παρ. 1, 3 και 4 και στο σύνολο του άρθρου 95</w:t>
      </w:r>
      <w:r w:rsidRPr="0096023D">
        <w:rPr>
          <w:rStyle w:val="ab"/>
          <w:rFonts w:ascii="Times New Roman" w:hAnsi="Times New Roman" w:cs="Times New Roman"/>
        </w:rPr>
        <w:footnoteReference w:id="3"/>
      </w:r>
      <w:r w:rsidRPr="0096023D">
        <w:rPr>
          <w:rFonts w:ascii="Times New Roman" w:hAnsi="Times New Roman" w:cs="Times New Roman"/>
        </w:rPr>
        <w:t>. Στο ίδιο πνεύμα θα πρέπει να προστεθούν και η διάταξη του άρθρου 103 παρ. 4, που θεσπίζει ένα ένδικο βοήθημα το οποίο αποτελεί ελληνική πρωτοτυπία, δηλαδή την υπαλληλική προσφυγή, ως διαπλαστικό ένδικο βοήθημα ουσίας που παρέχεται για ορισμένες μόνο πειθαρχικές ποινές και για συγκεκριμένες κατηγορίες υπαλλήλων, καθώς και το άρθρο 65 παρ. 6</w:t>
      </w:r>
      <w:r w:rsidR="00415EF6" w:rsidRPr="0096023D">
        <w:rPr>
          <w:rFonts w:ascii="Times New Roman" w:hAnsi="Times New Roman" w:cs="Times New Roman"/>
        </w:rPr>
        <w:t>,</w:t>
      </w:r>
      <w:r w:rsidRPr="0096023D">
        <w:rPr>
          <w:rFonts w:ascii="Times New Roman" w:hAnsi="Times New Roman" w:cs="Times New Roman"/>
        </w:rPr>
        <w:t xml:space="preserve"> που προβλέπει το ίδιο ένδικο βοήθημα για τους υπαλλήλους της Βουλής.</w:t>
      </w:r>
    </w:p>
    <w:p w14:paraId="5E4D0D3A" w14:textId="22BD869D" w:rsidR="00766FA8" w:rsidRPr="0096023D" w:rsidRDefault="00764E05" w:rsidP="0096023D">
      <w:pPr>
        <w:spacing w:line="360" w:lineRule="auto"/>
        <w:jc w:val="both"/>
        <w:rPr>
          <w:rFonts w:ascii="Times New Roman" w:hAnsi="Times New Roman" w:cs="Times New Roman"/>
        </w:rPr>
      </w:pPr>
      <w:r w:rsidRPr="0096023D">
        <w:rPr>
          <w:rFonts w:ascii="Times New Roman" w:hAnsi="Times New Roman" w:cs="Times New Roman"/>
          <w:b/>
          <w:bCs/>
        </w:rPr>
        <w:t>4.</w:t>
      </w:r>
      <w:r w:rsidRPr="0096023D">
        <w:rPr>
          <w:rFonts w:ascii="Times New Roman" w:hAnsi="Times New Roman" w:cs="Times New Roman"/>
        </w:rPr>
        <w:t xml:space="preserve"> Καθιερώνεται το οργανωτικό σχήμα των χωριστών δικαιοδοσιών</w:t>
      </w:r>
      <w:r w:rsidR="00415EF6" w:rsidRPr="0096023D">
        <w:rPr>
          <w:rStyle w:val="af8"/>
          <w:rFonts w:ascii="Times New Roman" w:hAnsi="Times New Roman" w:cs="Times New Roman"/>
        </w:rPr>
        <w:footnoteReference w:id="4"/>
      </w:r>
      <w:r w:rsidR="00415EF6" w:rsidRPr="0096023D">
        <w:rPr>
          <w:rFonts w:ascii="Times New Roman" w:hAnsi="Times New Roman" w:cs="Times New Roman"/>
        </w:rPr>
        <w:t>,</w:t>
      </w:r>
      <w:r w:rsidRPr="0096023D">
        <w:rPr>
          <w:rFonts w:ascii="Times New Roman" w:hAnsi="Times New Roman" w:cs="Times New Roman"/>
          <w:b/>
          <w:bCs/>
        </w:rPr>
        <w:t xml:space="preserve"> </w:t>
      </w:r>
      <w:r w:rsidRPr="0096023D">
        <w:rPr>
          <w:rFonts w:ascii="Times New Roman" w:hAnsi="Times New Roman" w:cs="Times New Roman"/>
        </w:rPr>
        <w:t>όπως συμβαίνει στην πλειονότητα των κρατών μελών της Ευρωπαϊκής Ένωσης</w:t>
      </w:r>
      <w:r w:rsidR="00065D54" w:rsidRPr="0096023D">
        <w:rPr>
          <w:rStyle w:val="af8"/>
          <w:rFonts w:ascii="Times New Roman" w:hAnsi="Times New Roman" w:cs="Times New Roman"/>
        </w:rPr>
        <w:footnoteReference w:id="5"/>
      </w:r>
      <w:r w:rsidRPr="0096023D">
        <w:rPr>
          <w:rFonts w:ascii="Times New Roman" w:hAnsi="Times New Roman" w:cs="Times New Roman"/>
        </w:rPr>
        <w:t xml:space="preserve">. Το Σύνταγμα κατοχυρώνει τη γενική δικαιοδοσία των πολιτικών δικαστηρίων επί του συνόλου των ιδιωτικών διαφορών και, μετά την αναθεώρηση του 2001, αποδίδει το σύνολο των διοικητικής φύσης διαφορών στη δικαιοδοσία των διοικητικών δικαστηρίων. Σημειώνεται ότι εξακολουθούν να διαπιστώνονται δυσχέρειες στον προσδιορισμό του ιδιωτικού ή διοικητικού χαρακτήρα των διαφορών. Δεδομένου ότι η δικαιοδοσία των πολιτικών δικαστηρίων οριοθετείται έναντι εκείνης των διοικητικών με απόλυτο τρόπο και με βάση το κριτήριο της φύσης της διαφοράς </w:t>
      </w:r>
      <w:r w:rsidR="00006434" w:rsidRPr="0096023D">
        <w:rPr>
          <w:rFonts w:ascii="Times New Roman" w:hAnsi="Times New Roman" w:cs="Times New Roman"/>
        </w:rPr>
        <w:t xml:space="preserve">(ήτοι ένα κριτήριο νομολογιακής κατά βάση προέλευσης) </w:t>
      </w:r>
      <w:r w:rsidRPr="0096023D">
        <w:rPr>
          <w:rFonts w:ascii="Times New Roman" w:hAnsi="Times New Roman" w:cs="Times New Roman"/>
        </w:rPr>
        <w:t xml:space="preserve">στο επίπεδο του Συντάγματος, ο νομοθέτης δεν έχει την εξουσία να διευκρινίσει ποιες διαφορές έχουν ιδιωτικό χαρακτήρα και ποιες διοικητικό. Το άρθρο </w:t>
      </w:r>
      <w:r w:rsidRPr="0096023D">
        <w:rPr>
          <w:rFonts w:ascii="Times New Roman" w:hAnsi="Times New Roman" w:cs="Times New Roman"/>
        </w:rPr>
        <w:lastRenderedPageBreak/>
        <w:t xml:space="preserve">94 παρ. 1, όπως αναθεωρήθηκε το 2001, αναθέτει την εκδίκαση των διοικητικών διαφορών στο Συμβούλιο της Επικρατείας και στα τακτικά διοικητικά δικαστήρια. Η παράγραφος 3 προβλέπει τη δυνατότητα ανάθεσης με νόμο κατηγοριών ιδιωτικών διαφορών στα διοικητικά δικαστήρια και διοικητικών διαφορών ουσίας στα πολιτικά δικαστήρια. Επιβάλλεται να τονιστεί ότι η δυνατότητα αυτή αποτελεί μια από τις πλέον εύστοχες και ορθολογικές αναθεωρητικές επεμβάσεις του 2001, που δυστυχώς δεν αξιοποιήθηκε επαρκώς από τον δικονομικό νομοθέτη. </w:t>
      </w:r>
      <w:r w:rsidR="00766FA8" w:rsidRPr="0096023D">
        <w:rPr>
          <w:rFonts w:ascii="Times New Roman" w:hAnsi="Times New Roman" w:cs="Times New Roman"/>
          <w:color w:val="000000" w:themeColor="text1"/>
        </w:rPr>
        <w:t xml:space="preserve">Ο </w:t>
      </w:r>
      <w:r w:rsidR="007D3E36" w:rsidRPr="0096023D">
        <w:rPr>
          <w:rFonts w:ascii="Times New Roman" w:hAnsi="Times New Roman" w:cs="Times New Roman"/>
          <w:color w:val="000000" w:themeColor="text1"/>
        </w:rPr>
        <w:t xml:space="preserve">καθηγητής </w:t>
      </w:r>
      <w:r w:rsidR="00766FA8" w:rsidRPr="0096023D">
        <w:rPr>
          <w:rFonts w:ascii="Times New Roman" w:hAnsi="Times New Roman" w:cs="Times New Roman"/>
          <w:color w:val="000000" w:themeColor="text1"/>
        </w:rPr>
        <w:t>Βενιζέλος κάνει συναφώς λόγο για «αναξιοποίητα κοιτάσματα» του αναθεωρητικού κεκτημένου</w:t>
      </w:r>
      <w:r w:rsidR="007B14F2" w:rsidRPr="0096023D">
        <w:rPr>
          <w:rStyle w:val="af8"/>
          <w:rFonts w:ascii="Times New Roman" w:hAnsi="Times New Roman" w:cs="Times New Roman"/>
          <w:color w:val="000000" w:themeColor="text1"/>
        </w:rPr>
        <w:footnoteReference w:id="6"/>
      </w:r>
      <w:r w:rsidR="00766FA8" w:rsidRPr="0096023D">
        <w:rPr>
          <w:rFonts w:ascii="Times New Roman" w:hAnsi="Times New Roman" w:cs="Times New Roman"/>
          <w:color w:val="000000" w:themeColor="text1"/>
        </w:rPr>
        <w:t>.</w:t>
      </w:r>
      <w:r w:rsidRPr="0096023D">
        <w:rPr>
          <w:rFonts w:ascii="Times New Roman" w:hAnsi="Times New Roman" w:cs="Times New Roman"/>
          <w:color w:val="000000" w:themeColor="text1"/>
        </w:rPr>
        <w:t xml:space="preserve"> Αρκεί να υπομνησθεί ότι με μια σειρά πρόσφατων αποφάσεων του Γ΄ Τμήματος 7μ</w:t>
      </w:r>
      <w:r w:rsidR="007D3E36" w:rsidRPr="0096023D">
        <w:rPr>
          <w:rStyle w:val="af8"/>
          <w:rFonts w:ascii="Times New Roman" w:hAnsi="Times New Roman" w:cs="Times New Roman"/>
          <w:color w:val="000000" w:themeColor="text1"/>
        </w:rPr>
        <w:footnoteReference w:id="7"/>
      </w:r>
      <w:r w:rsidRPr="0096023D">
        <w:rPr>
          <w:rFonts w:ascii="Times New Roman" w:hAnsi="Times New Roman" w:cs="Times New Roman"/>
          <w:color w:val="000000" w:themeColor="text1"/>
        </w:rPr>
        <w:t xml:space="preserve"> απλουστεύθηκε </w:t>
      </w:r>
      <w:r w:rsidRPr="0096023D">
        <w:rPr>
          <w:rFonts w:ascii="Times New Roman" w:hAnsi="Times New Roman" w:cs="Times New Roman"/>
          <w:color w:val="000000" w:themeColor="text1"/>
          <w:shd w:val="clear" w:color="auto" w:fill="FFFFFF"/>
        </w:rPr>
        <w:t>μια από τις σημαντικότερες περιπτώσεις αμφισβητούμενης δικαιοδοσίας,</w:t>
      </w:r>
      <w:r w:rsidRPr="0096023D">
        <w:rPr>
          <w:rStyle w:val="apple-converted-space"/>
          <w:rFonts w:ascii="Times New Roman" w:hAnsi="Times New Roman" w:cs="Times New Roman"/>
          <w:color w:val="000000" w:themeColor="text1"/>
          <w:shd w:val="clear" w:color="auto" w:fill="FFFFFF"/>
        </w:rPr>
        <w:t> </w:t>
      </w:r>
      <w:r w:rsidRPr="0096023D">
        <w:rPr>
          <w:rFonts w:ascii="Times New Roman" w:hAnsi="Times New Roman" w:cs="Times New Roman"/>
          <w:color w:val="000000" w:themeColor="text1"/>
          <w:shd w:val="clear" w:color="auto" w:fill="FFFFFF"/>
        </w:rPr>
        <w:t>δηλαδή αυτή των διαφορών από την πρόσληψη και υπηρεσιακή εξέλιξη του προσωπικού με σχέση ιδιωτικού δικαίου των ΝΠΔΔ (άρθρο 1 παρ. 1 στοιχ. γ΄ του Ν 702/1977)</w:t>
      </w:r>
      <w:r w:rsidRPr="0096023D">
        <w:rPr>
          <w:rStyle w:val="ab"/>
          <w:rFonts w:ascii="Times New Roman" w:hAnsi="Times New Roman" w:cs="Times New Roman"/>
          <w:color w:val="000000" w:themeColor="text1"/>
          <w:shd w:val="clear" w:color="auto" w:fill="FFFFFF"/>
        </w:rPr>
        <w:footnoteReference w:id="8"/>
      </w:r>
      <w:r w:rsidRPr="0096023D">
        <w:rPr>
          <w:rFonts w:ascii="Times New Roman" w:hAnsi="Times New Roman" w:cs="Times New Roman"/>
          <w:color w:val="000000" w:themeColor="text1"/>
          <w:shd w:val="clear" w:color="auto" w:fill="FFFFFF"/>
        </w:rPr>
        <w:t>.</w:t>
      </w:r>
      <w:r w:rsidRPr="0096023D">
        <w:rPr>
          <w:rFonts w:ascii="Times New Roman" w:hAnsi="Times New Roman" w:cs="Times New Roman"/>
          <w:color w:val="000000" w:themeColor="text1"/>
        </w:rPr>
        <w:t xml:space="preserve"> Τέλος, η παράγραφος 4 προβλέπει τη δυνατότητα ανάθεσης </w:t>
      </w:r>
      <w:r w:rsidRPr="0096023D">
        <w:rPr>
          <w:rFonts w:ascii="Times New Roman" w:hAnsi="Times New Roman" w:cs="Times New Roman"/>
        </w:rPr>
        <w:t xml:space="preserve">με νόμο στα πολιτικά και στα διοικητικά δικαστήρια αρμοδιοτήτων διοικητικής φύσης, μεταξύ των οποίων τη λήψη μέτρων για τη συμμόρφωση της Διοίκησης με τις δικαστικές αποφάσεις. Περαιτέρω </w:t>
      </w:r>
      <w:r w:rsidR="00766FA8" w:rsidRPr="0096023D">
        <w:rPr>
          <w:rFonts w:ascii="Times New Roman" w:hAnsi="Times New Roman" w:cs="Times New Roman"/>
        </w:rPr>
        <w:t>καθιερώνεται ρητώς</w:t>
      </w:r>
      <w:r w:rsidRPr="0096023D">
        <w:rPr>
          <w:rFonts w:ascii="Times New Roman" w:hAnsi="Times New Roman" w:cs="Times New Roman"/>
        </w:rPr>
        <w:t xml:space="preserve"> η αναγκαστική εκτέλεση δικαστικών αποφάσεων κατά του Δημοσίου και λοιπών ΝΠΔΔ. </w:t>
      </w:r>
    </w:p>
    <w:p w14:paraId="4D01512C" w14:textId="77777777" w:rsidR="002B3E78" w:rsidRPr="0096023D" w:rsidRDefault="00764E05" w:rsidP="0096023D">
      <w:pPr>
        <w:spacing w:line="360" w:lineRule="auto"/>
        <w:jc w:val="both"/>
        <w:rPr>
          <w:rFonts w:ascii="Times New Roman" w:hAnsi="Times New Roman" w:cs="Times New Roman"/>
        </w:rPr>
      </w:pPr>
      <w:r w:rsidRPr="0096023D">
        <w:rPr>
          <w:rFonts w:ascii="Times New Roman" w:hAnsi="Times New Roman" w:cs="Times New Roman"/>
          <w:b/>
          <w:bCs/>
        </w:rPr>
        <w:t>5.</w:t>
      </w:r>
      <w:r w:rsidRPr="0096023D">
        <w:rPr>
          <w:rFonts w:ascii="Times New Roman" w:hAnsi="Times New Roman" w:cs="Times New Roman"/>
        </w:rPr>
        <w:t xml:space="preserve"> Ο συντακτικός νομοθέτης έχει επιλέξει ένα μάλλον σύνθετο τρόπο ρύθμισης της δικαιοδοσίας των διοικητικών δικαστηρίων, αφού κατανέμει την ενιαία διοικητική δικαιοδοσία σε διακεκριμένα μεταξύ τους δικαστήρια με τη μέθοδο της ανάθεσης </w:t>
      </w:r>
      <w:r w:rsidRPr="0096023D">
        <w:rPr>
          <w:rFonts w:ascii="Times New Roman" w:hAnsi="Times New Roman" w:cs="Times New Roman"/>
        </w:rPr>
        <w:lastRenderedPageBreak/>
        <w:t>διαφορών που προκύπτουν από την άσκηση συγκεκριμένων ένδικων βοηθημάτων. Σε δύο διαφορετικά πλέγματα διατάξεων αναθέτει στα μεν ΤΔΔ τη γενική αρμοδιότητα επί των διαφορών ουσίας, ενώ στο ΣτΕ ανατίθεται η κατά κανόνα εκδίκαση των διαφορών που προκύπτουν από την άσκηση αίτησης ακύρωσης κατά διοικητικών πράξεων καθώς και αιτήσεων αναίρεσης κατά των αποφάσεων των ΤΔΔ. Το άρθρο 95, διάταξη που απαντά με μικρές τροποποιήσεις σε όλα τα Συντάγματα από το 1911 και εντεύθεν, ρυθμίζει τις αρμοδιότητες του Συμβουλίου της Επικρατείας: α. αιτήσεις ακύρωσης κατά εκτελεστών πράξεων διοικητικής αρχής· β. αιτήσεις αναίρεσης κατά τελεσιδίκων αποφάσεων ΤΔΔ· γ. εκδίκαση διαφορών ουσίας που του υποβάλλονται κατά το Σύνταγμα και τους νόμους και δ. επεξεργασία όλων των κανονιστικών διαταγμάτων. Στη συνέχεια, η διάταξη της παραγράφου 3 προβλέπει, αφενός, τη δυνατότητα της δια νόμου μεταφοράς κατηγοριών της ακυρωτικής αρμοδιότητας του ΣτΕ ανάλογα με τη φύση και τη σπουδαιότητά τους και, αφετέρου, την εκδίκαση σε δεύτερο βαθμό από το ΣτΕ. Τέλος, η παράγραφος 5 αφορά την υποχρέωση συμμόρφωσης της Διοίκησης, που καλύπτει μεν όλες τις δικαστικές αποφάσεις, αλλά δημιουργεί τα περισσότερα ζητήματα στην παράλειψη συμμόρφωσης της Διοίκησης στις ακυρωτικές αποφάσεις του Συμβουλίου της Επικρατείας</w:t>
      </w:r>
      <w:r w:rsidR="00596E61" w:rsidRPr="0096023D">
        <w:rPr>
          <w:rStyle w:val="af8"/>
          <w:rFonts w:ascii="Times New Roman" w:hAnsi="Times New Roman" w:cs="Times New Roman"/>
        </w:rPr>
        <w:footnoteReference w:id="9"/>
      </w:r>
      <w:r w:rsidRPr="0096023D">
        <w:rPr>
          <w:rFonts w:ascii="Times New Roman" w:hAnsi="Times New Roman" w:cs="Times New Roman"/>
        </w:rPr>
        <w:t>.</w:t>
      </w:r>
    </w:p>
    <w:p w14:paraId="4693DC6D" w14:textId="77777777" w:rsidR="002B3E78" w:rsidRPr="0096023D" w:rsidRDefault="00764E05" w:rsidP="0096023D">
      <w:pPr>
        <w:spacing w:line="360" w:lineRule="auto"/>
        <w:jc w:val="both"/>
        <w:rPr>
          <w:rFonts w:ascii="Times New Roman" w:hAnsi="Times New Roman" w:cs="Times New Roman"/>
        </w:rPr>
      </w:pPr>
      <w:r w:rsidRPr="0096023D">
        <w:rPr>
          <w:rFonts w:ascii="Times New Roman" w:hAnsi="Times New Roman" w:cs="Times New Roman"/>
          <w:b/>
          <w:bCs/>
        </w:rPr>
        <w:t>6.</w:t>
      </w:r>
      <w:r w:rsidRPr="0096023D">
        <w:rPr>
          <w:rFonts w:ascii="Times New Roman" w:hAnsi="Times New Roman" w:cs="Times New Roman"/>
        </w:rPr>
        <w:t xml:space="preserve"> Είναι ενδιαφέρον ότι 25 χρόνια μετά την αναθεώρηση του 2001, συζητώνται τα ίδια θέματα όσον αφορά τις συνταγματικές πρόνοιες για τη διοικητική δικαιοσύνη. Η εμπειρία των 25+23 χρόνων εφαρμογής καθιστά αναγκαίες κάποιες αλλαγές. Οι προτάσεις πρέπει να περιορίζονται στις απολύτως απαραίτητες βελτιώσεις</w:t>
      </w:r>
      <w:r w:rsidR="00065D54" w:rsidRPr="0096023D">
        <w:rPr>
          <w:rFonts w:ascii="Times New Roman" w:hAnsi="Times New Roman" w:cs="Times New Roman"/>
        </w:rPr>
        <w:t>,</w:t>
      </w:r>
      <w:r w:rsidRPr="0096023D">
        <w:rPr>
          <w:rFonts w:ascii="Times New Roman" w:hAnsi="Times New Roman" w:cs="Times New Roman"/>
        </w:rPr>
        <w:t xml:space="preserve"> με το σκεπτικό ότι πολλά ζητήματα πρέπει να παραμείνουν εκτός συνταγματικής ύλης και να περιέλθουν στην αρμοδιότητα του κοινού νομοθέτη, ο οποίος</w:t>
      </w:r>
      <w:r w:rsidR="00A545BD" w:rsidRPr="0096023D">
        <w:rPr>
          <w:rFonts w:ascii="Times New Roman" w:hAnsi="Times New Roman" w:cs="Times New Roman"/>
        </w:rPr>
        <w:t>, με τη σειρά του,</w:t>
      </w:r>
      <w:r w:rsidRPr="0096023D">
        <w:rPr>
          <w:rFonts w:ascii="Times New Roman" w:hAnsi="Times New Roman" w:cs="Times New Roman"/>
        </w:rPr>
        <w:t xml:space="preserve"> δεν πρέπει να λειτουργεί ως εκφραστής μιας συγκυριακής πλειοψηφίας που αλλάζει συνεχώς απόψεις, αντιδρά σπασμωδικά και αποσπασματικά σε υπερεθνικές κυρώσεις</w:t>
      </w:r>
      <w:r w:rsidR="00A545BD" w:rsidRPr="0096023D">
        <w:rPr>
          <w:rFonts w:ascii="Times New Roman" w:hAnsi="Times New Roman" w:cs="Times New Roman"/>
        </w:rPr>
        <w:t xml:space="preserve"> (καταδίκες της Ελλάδας από το ΕΔΔΑ)</w:t>
      </w:r>
      <w:r w:rsidRPr="0096023D">
        <w:rPr>
          <w:rFonts w:ascii="Times New Roman" w:hAnsi="Times New Roman" w:cs="Times New Roman"/>
        </w:rPr>
        <w:t xml:space="preserve"> και νομοθετεί χωρίς σύστημα και πρόγραμμα. Σε κάθε περίπτωση, ο «κακός» νομοθέτης δεν αντιμετωπίζεται δια της μεθόδου του πολλαπλασιασμού των προσθηκών στο κείμενο του Συντάγματος, ώστε να στενεύουν </w:t>
      </w:r>
      <w:r w:rsidRPr="0096023D">
        <w:rPr>
          <w:rFonts w:ascii="Times New Roman" w:hAnsi="Times New Roman" w:cs="Times New Roman"/>
        </w:rPr>
        <w:lastRenderedPageBreak/>
        <w:t>τα περιθώρια της νομοθετικής δράσης, διότι δεν νοείται ένα καλό Σύνταγμα να μας σώσει από τους «κακούς» νόμους</w:t>
      </w:r>
      <w:r w:rsidR="00A545BD" w:rsidRPr="0096023D">
        <w:rPr>
          <w:rStyle w:val="af8"/>
          <w:rFonts w:ascii="Times New Roman" w:hAnsi="Times New Roman" w:cs="Times New Roman"/>
        </w:rPr>
        <w:footnoteReference w:id="10"/>
      </w:r>
      <w:r w:rsidRPr="0096023D">
        <w:rPr>
          <w:rFonts w:ascii="Times New Roman" w:hAnsi="Times New Roman" w:cs="Times New Roman"/>
        </w:rPr>
        <w:t xml:space="preserve">. </w:t>
      </w:r>
      <w:r w:rsidR="00065D54" w:rsidRPr="0096023D">
        <w:rPr>
          <w:rFonts w:ascii="Times New Roman" w:hAnsi="Times New Roman" w:cs="Times New Roman"/>
        </w:rPr>
        <w:t>Επιβάλλεται</w:t>
      </w:r>
      <w:r w:rsidRPr="0096023D">
        <w:rPr>
          <w:rFonts w:ascii="Times New Roman" w:hAnsi="Times New Roman" w:cs="Times New Roman"/>
        </w:rPr>
        <w:t xml:space="preserve"> να γίνουν ορισμένες παρεμβάσεις στο θεσμό της διοικητικής δικαιοσύνης, καθόσον θεσμοί και διαδικασίες που εισήχθησαν με την αναθεώρηση του 2001 προκάλεσαν δυσλειτουργίες που θα μπορούσαν να επανεξεταστούν με βάση την ήδη αποκτηθείσα εμπειρία.</w:t>
      </w:r>
    </w:p>
    <w:p w14:paraId="317C1A77" w14:textId="77777777" w:rsidR="0036465A" w:rsidRPr="0096023D" w:rsidRDefault="0036465A" w:rsidP="0096023D">
      <w:pPr>
        <w:spacing w:line="360" w:lineRule="auto"/>
        <w:jc w:val="both"/>
        <w:rPr>
          <w:rFonts w:ascii="Times New Roman" w:hAnsi="Times New Roman" w:cs="Times New Roman"/>
          <w:b/>
          <w:bCs/>
        </w:rPr>
      </w:pPr>
    </w:p>
    <w:p w14:paraId="01100B0B" w14:textId="77777777" w:rsidR="002B3E78" w:rsidRPr="0096023D" w:rsidRDefault="00764E05" w:rsidP="0096023D">
      <w:pPr>
        <w:spacing w:line="360" w:lineRule="auto"/>
        <w:jc w:val="both"/>
        <w:rPr>
          <w:rFonts w:ascii="Times New Roman" w:hAnsi="Times New Roman" w:cs="Times New Roman"/>
          <w:b/>
          <w:bCs/>
        </w:rPr>
      </w:pPr>
      <w:r w:rsidRPr="0096023D">
        <w:rPr>
          <w:rFonts w:ascii="Times New Roman" w:hAnsi="Times New Roman" w:cs="Times New Roman"/>
          <w:b/>
          <w:bCs/>
        </w:rPr>
        <w:t>Ρυθμίσεις που προκάλεσαν προβλήματα και προτάσεις για την αντιμετώπισή τους:</w:t>
      </w:r>
    </w:p>
    <w:p w14:paraId="5F84673B" w14:textId="5BE1F03A" w:rsidR="002B3E78" w:rsidRPr="0096023D" w:rsidRDefault="00764E05" w:rsidP="0096023D">
      <w:pPr>
        <w:pStyle w:val="af7"/>
        <w:numPr>
          <w:ilvl w:val="0"/>
          <w:numId w:val="1"/>
        </w:numPr>
        <w:spacing w:line="360" w:lineRule="auto"/>
        <w:jc w:val="both"/>
        <w:rPr>
          <w:rFonts w:ascii="Times New Roman" w:hAnsi="Times New Roman" w:cs="Times New Roman"/>
        </w:rPr>
      </w:pPr>
      <w:r w:rsidRPr="0096023D">
        <w:rPr>
          <w:rFonts w:ascii="Times New Roman" w:hAnsi="Times New Roman" w:cs="Times New Roman"/>
        </w:rPr>
        <w:t>Η μεταφορά του τεκμηρίου αρμοδιότητας στα ΤΔΔ και δη στον πρωτοβάθμιο δικαστή και ο περιορισμός των ακυρωτικών αρμοδιοτήτων του ΣτΕ στις διαφορές που προκαλούνται από την προσβολή κανονιστικών πράξεων της Διοίκησης, οι οποίες συχνά στρέφονται γύρω από προβλήματα συνταγματικότητας είτε της ίδιας της πράξης είτε του εξουσιοδοτικού νόμου</w:t>
      </w:r>
      <w:r w:rsidRPr="0096023D">
        <w:rPr>
          <w:rStyle w:val="ab"/>
          <w:rFonts w:ascii="Times New Roman" w:hAnsi="Times New Roman" w:cs="Times New Roman"/>
        </w:rPr>
        <w:footnoteReference w:id="11"/>
      </w:r>
      <w:r w:rsidRPr="0096023D">
        <w:rPr>
          <w:rFonts w:ascii="Times New Roman" w:hAnsi="Times New Roman" w:cs="Times New Roman"/>
        </w:rPr>
        <w:t>. Στις διαφορές από κανονιστικές πράξεις θα μπορούσαν να προστεθούν και αυτές που προκαλούνται από την προσβολή των πράξεων των κεντρικών και ανώτερων οργάνων της Δημόσιας Διοίκησης, αυτών δηλαδή που ασκούν την τις αρμοδιότητές τους σε ολόκληρη την ελληνική επικράτεια. Για λόγους, μάλιστα, μεγαλύτερης ασφάλειας δικαίου, ενδείκνυται να απαριθμούνται στο ίδιο το Σύνταγμα οι υπαγόμενες στο ΣτΕ ακυρωτικές διαφορές και να μην αφεθούν στην πρωτοβουλία του νομοθέτη βάσει των αόριστων κριτηρίων της σοβαρότητας και της σπουδαιότητας της διαφοράς</w:t>
      </w:r>
      <w:r w:rsidR="00A545BD" w:rsidRPr="0096023D">
        <w:rPr>
          <w:rStyle w:val="af8"/>
          <w:rFonts w:ascii="Times New Roman" w:hAnsi="Times New Roman" w:cs="Times New Roman"/>
        </w:rPr>
        <w:footnoteReference w:id="12"/>
      </w:r>
      <w:r w:rsidRPr="0096023D">
        <w:rPr>
          <w:rFonts w:ascii="Times New Roman" w:hAnsi="Times New Roman" w:cs="Times New Roman"/>
        </w:rPr>
        <w:t xml:space="preserve">. Καλό είναι να αποφεύγονται οι εστίες τριβών στην κατανομή αρμοδιοτήτων μεταξύ ΣτΕ και ΤΔΔ. Με την παραπάνω κατανομή, διατηρείται στον απαραίτητο βαθμό η πρωτοβάθμια ακυρωτική αρμοδιότητα του ΣτΕ. Η εν λόγω αποκέντρωση αρμοδιοτήτων υπέρ των ΤΔΔ είναι απολύτως αναγκαία για δύο λόγους: </w:t>
      </w:r>
      <w:r w:rsidRPr="0096023D">
        <w:rPr>
          <w:rFonts w:ascii="Times New Roman" w:hAnsi="Times New Roman" w:cs="Times New Roman"/>
          <w:u w:val="single"/>
        </w:rPr>
        <w:lastRenderedPageBreak/>
        <w:t>Πρώτον</w:t>
      </w:r>
      <w:r w:rsidRPr="0096023D">
        <w:rPr>
          <w:rFonts w:ascii="Times New Roman" w:hAnsi="Times New Roman" w:cs="Times New Roman"/>
        </w:rPr>
        <w:t xml:space="preserve">, θα αποδεσμεύσει το ΣτΕ από υποθέσεις μικρής σημασίας, επιτρέποντάς του να ανταποκριθεί πληρέστερα σε θέματα αντισυνταγματικότητας, ενοποίησης της νομολογίας, συνεργασίας με τη νομοθετική και την εκτελεστική εξουσία. </w:t>
      </w:r>
      <w:r w:rsidRPr="0096023D">
        <w:rPr>
          <w:rFonts w:ascii="Times New Roman" w:hAnsi="Times New Roman" w:cs="Times New Roman"/>
          <w:u w:val="single"/>
        </w:rPr>
        <w:t>Δεύτερον</w:t>
      </w:r>
      <w:r w:rsidRPr="0096023D">
        <w:rPr>
          <w:rFonts w:ascii="Times New Roman" w:hAnsi="Times New Roman" w:cs="Times New Roman"/>
        </w:rPr>
        <w:t xml:space="preserve">, είναι ο μοναδικός τρόπος </w:t>
      </w:r>
      <w:r w:rsidRPr="0096023D">
        <w:rPr>
          <w:rFonts w:ascii="Times New Roman" w:hAnsi="Times New Roman" w:cs="Times New Roman"/>
          <w:u w:val="single"/>
        </w:rPr>
        <w:t>τόσο για την αποφυγή της πολυνομίας</w:t>
      </w:r>
      <w:r w:rsidRPr="0096023D">
        <w:rPr>
          <w:rFonts w:ascii="Times New Roman" w:hAnsi="Times New Roman" w:cs="Times New Roman"/>
        </w:rPr>
        <w:t xml:space="preserve"> κατά την ανάθεση υποθέσεων στα ΤΔΔ [</w:t>
      </w:r>
      <w:r w:rsidRPr="0096023D">
        <w:rPr>
          <w:rFonts w:ascii="Times New Roman" w:hAnsi="Times New Roman" w:cs="Times New Roman"/>
          <w:color w:val="000000" w:themeColor="text1"/>
        </w:rPr>
        <w:t>όπως επισήμανε ο Γενικός Επίτροπος της Επικρατείας των ΤΔΔ, μόνο κατά το</w:t>
      </w:r>
      <w:r w:rsidRPr="0096023D">
        <w:rPr>
          <w:rFonts w:ascii="Times New Roman" w:hAnsi="Times New Roman" w:cs="Times New Roman"/>
          <w:color w:val="000000" w:themeColor="text1"/>
          <w:shd w:val="clear" w:color="auto" w:fill="FFFFFF"/>
        </w:rPr>
        <w:t xml:space="preserve"> 2024 είχαμε 10 νέες αναθέσεις και μάλιστα απευθείας στα ΔΕφ ενώ συνολικά μετράμε πάνω από 200 νομοθετήματα πέρα από τους βασικούς ν. 1406/1983 και 702/1977</w:t>
      </w:r>
      <w:r w:rsidRPr="0096023D">
        <w:rPr>
          <w:rFonts w:ascii="Times New Roman" w:hAnsi="Times New Roman" w:cs="Times New Roman"/>
        </w:rPr>
        <w:t>], η οποία, εφόσον κριθεί συμβατή με βάση τα αόριστα συνταγματικά κριτήρια της φύσης και της σπουδαιότητας (95 παρ. 3), προκαλεί</w:t>
      </w:r>
      <w:r w:rsidR="0064080E" w:rsidRPr="0096023D">
        <w:rPr>
          <w:rFonts w:ascii="Times New Roman" w:hAnsi="Times New Roman" w:cs="Times New Roman"/>
        </w:rPr>
        <w:t>,</w:t>
      </w:r>
      <w:r w:rsidRPr="0096023D">
        <w:rPr>
          <w:rFonts w:ascii="Times New Roman" w:hAnsi="Times New Roman" w:cs="Times New Roman"/>
        </w:rPr>
        <w:t xml:space="preserve"> κατά κανόνα</w:t>
      </w:r>
      <w:r w:rsidR="0064080E" w:rsidRPr="0096023D">
        <w:rPr>
          <w:rFonts w:ascii="Times New Roman" w:hAnsi="Times New Roman" w:cs="Times New Roman"/>
        </w:rPr>
        <w:t>,</w:t>
      </w:r>
      <w:r w:rsidRPr="0096023D">
        <w:rPr>
          <w:rFonts w:ascii="Times New Roman" w:hAnsi="Times New Roman" w:cs="Times New Roman"/>
        </w:rPr>
        <w:t xml:space="preserve"> σωρεία ερμηνευτικών ζητημάτων, </w:t>
      </w:r>
      <w:r w:rsidRPr="0096023D">
        <w:rPr>
          <w:rFonts w:ascii="Times New Roman" w:hAnsi="Times New Roman" w:cs="Times New Roman"/>
          <w:u w:val="single"/>
        </w:rPr>
        <w:t xml:space="preserve">όσο και για </w:t>
      </w:r>
      <w:r w:rsidR="0064080E" w:rsidRPr="0096023D">
        <w:rPr>
          <w:rFonts w:ascii="Times New Roman" w:hAnsi="Times New Roman" w:cs="Times New Roman"/>
          <w:u w:val="single"/>
        </w:rPr>
        <w:t>τη</w:t>
      </w:r>
      <w:r w:rsidRPr="0096023D">
        <w:rPr>
          <w:rFonts w:ascii="Times New Roman" w:hAnsi="Times New Roman" w:cs="Times New Roman"/>
          <w:u w:val="single"/>
        </w:rPr>
        <w:t xml:space="preserve"> θεραπεία του φαινομένου της διάσπασης των διαφορών αλλά και ενδίκων βοηθημάτων συναφών μεταξύ τους</w:t>
      </w:r>
      <w:r w:rsidRPr="0096023D">
        <w:rPr>
          <w:rFonts w:ascii="Times New Roman" w:hAnsi="Times New Roman" w:cs="Times New Roman"/>
        </w:rPr>
        <w:t xml:space="preserve"> σε διαφορετικά δικαστήρια διαφορετικών βαθμίδων ή και σε Τμήματα του αυτού ενίοτε Δικαστηρίου, που πολλαπλασιάζει αντί να συμπυκνώνει τις δίκες</w:t>
      </w:r>
      <w:r w:rsidR="0064080E" w:rsidRPr="0096023D">
        <w:rPr>
          <w:rFonts w:ascii="Times New Roman" w:hAnsi="Times New Roman" w:cs="Times New Roman"/>
        </w:rPr>
        <w:t xml:space="preserve"> και προκαλεί</w:t>
      </w:r>
      <w:r w:rsidRPr="0096023D">
        <w:rPr>
          <w:rFonts w:ascii="Times New Roman" w:hAnsi="Times New Roman" w:cs="Times New Roman"/>
        </w:rPr>
        <w:t xml:space="preserve"> καθυστερήσεις και δυσλειτουργία στο σύστημα. Με τη διατήρηση στο ΣτΕ σε πρώτο βαθμό της εκδίκασης ορισμένων και μόνον διοικητικών διαφορών θα υπερβούμε τον «ιδιότυπο ανταγωνισμό των δικαιοδοσιών» που επιβαρύνει το σύστημα απονομής της δικαιοσύνης, κατά το πρότυπο της γαλλικής διοικητικής δικαιοσύνης που αποτελεί πηγή έμπνευσης για το Συμβούλιο της Επικρατείας και έχει λειτουργήσει θετικά. Με τη μεταφορά του τεκμηρίου αρμοδιότητας στα ΤΔΔ, καθίσταται άνευ αντικειμένου η υφιστάμενη ειδική ρύθμιση της παραγράφου 3 του άρθρου 95, για τη δυνατότητα του νομοθέτη να υπαγάγει συγκεκριμένες κατηγορίες ακυρωτικών διαφορών στην αρμοδιότητα των ΤΔΔ, την τήρηση </w:t>
      </w:r>
      <w:r w:rsidR="0064080E" w:rsidRPr="0096023D">
        <w:rPr>
          <w:rFonts w:ascii="Times New Roman" w:hAnsi="Times New Roman" w:cs="Times New Roman"/>
        </w:rPr>
        <w:t xml:space="preserve">των κριτηρίων </w:t>
      </w:r>
      <w:r w:rsidRPr="0096023D">
        <w:rPr>
          <w:rFonts w:ascii="Times New Roman" w:hAnsi="Times New Roman" w:cs="Times New Roman"/>
        </w:rPr>
        <w:t>της οποίας φρόντιζε μετ’ επιτάσεως να διασφαλίσει το ΣτΕ, προκειμένου να διατηρήσει τον κομβικό του ρόλο και το τεκμήριο ακυρωτικής αρμοδιότητας. Μπορεί να διατηρηθεί η κατοχύρωση, προς όφελος των διαδίκων, της εγγύησης δευτεροβάθμιας κρίσης από το ΣτΕ, αρκεί να μη διακυβευθεί η αποσυμφόρηση του ΣτΕ, μάλιστα δε η αναθεωρημένη διάταξη για την άσκηση δευτεροβάθμιου ελέγχου να τοποθετηθεί στην παράγραφο που περιγράφονται οι λοιπές αρμοδιότητες του δικαστηρίου.</w:t>
      </w:r>
    </w:p>
    <w:p w14:paraId="75793226" w14:textId="77777777" w:rsidR="002B3E78" w:rsidRPr="0096023D" w:rsidRDefault="00764E05" w:rsidP="0096023D">
      <w:pPr>
        <w:pStyle w:val="af7"/>
        <w:numPr>
          <w:ilvl w:val="0"/>
          <w:numId w:val="1"/>
        </w:numPr>
        <w:spacing w:line="360" w:lineRule="auto"/>
        <w:jc w:val="both"/>
        <w:rPr>
          <w:rFonts w:ascii="Times New Roman" w:hAnsi="Times New Roman" w:cs="Times New Roman"/>
        </w:rPr>
      </w:pPr>
      <w:r w:rsidRPr="0096023D">
        <w:rPr>
          <w:rFonts w:ascii="Times New Roman" w:hAnsi="Times New Roman" w:cs="Times New Roman"/>
        </w:rPr>
        <w:t xml:space="preserve">Θα ήταν σκόπιμη η αναγνώριση από τον συνταγματικό νομοθέτη της ακυρωτικής εξουσίας του διοικητικού δικαστή εν γένει, χωρίς όμως αναφορά στην εσωτερική διάκριση των διοικητικών διαφορών σε ακυρωτικές και ουσίας </w:t>
      </w:r>
      <w:r w:rsidRPr="0096023D">
        <w:rPr>
          <w:rFonts w:ascii="Times New Roman" w:hAnsi="Times New Roman" w:cs="Times New Roman"/>
        </w:rPr>
        <w:lastRenderedPageBreak/>
        <w:t>και στην απόδοση του όποιου περιεχομένου στις κατηγορίες αυτές</w:t>
      </w:r>
      <w:r w:rsidR="00596E61" w:rsidRPr="0096023D">
        <w:rPr>
          <w:rStyle w:val="af8"/>
          <w:rFonts w:ascii="Times New Roman" w:hAnsi="Times New Roman" w:cs="Times New Roman"/>
          <w:color w:val="000000" w:themeColor="text1"/>
        </w:rPr>
        <w:footnoteReference w:id="13"/>
      </w:r>
      <w:r w:rsidRPr="0096023D">
        <w:rPr>
          <w:rFonts w:ascii="Times New Roman" w:hAnsi="Times New Roman" w:cs="Times New Roman"/>
          <w:color w:val="000000" w:themeColor="text1"/>
        </w:rPr>
        <w:t>.</w:t>
      </w:r>
      <w:r w:rsidRPr="0096023D">
        <w:rPr>
          <w:rFonts w:ascii="Times New Roman" w:hAnsi="Times New Roman" w:cs="Times New Roman"/>
        </w:rPr>
        <w:t xml:space="preserve"> Η θεωρία έχει επισημάνει </w:t>
      </w:r>
      <w:r w:rsidRPr="0096023D">
        <w:rPr>
          <w:rFonts w:ascii="Times New Roman" w:hAnsi="Times New Roman" w:cs="Times New Roman"/>
          <w:color w:val="000000" w:themeColor="text1"/>
        </w:rPr>
        <w:t xml:space="preserve">κατ’ επανάληψη ότι </w:t>
      </w:r>
      <w:r w:rsidRPr="0096023D">
        <w:rPr>
          <w:rFonts w:ascii="Times New Roman" w:hAnsi="Times New Roman" w:cs="Times New Roman"/>
          <w:color w:val="000000" w:themeColor="text1"/>
          <w:shd w:val="clear" w:color="auto" w:fill="FFFFFF"/>
        </w:rPr>
        <w:t xml:space="preserve">η διάκριση των διαφορών, μετά τη διεύρυνση των εξουσιών του ακυρωτικού δικαστή, έχει καταστεί σκιώδης και παρωχημένη </w:t>
      </w:r>
      <w:r w:rsidRPr="0096023D">
        <w:rPr>
          <w:rFonts w:ascii="Times New Roman" w:hAnsi="Times New Roman" w:cs="Times New Roman"/>
          <w:color w:val="000000" w:themeColor="text1"/>
        </w:rPr>
        <w:t xml:space="preserve">και η νομολογία </w:t>
      </w:r>
      <w:r w:rsidRPr="0096023D">
        <w:rPr>
          <w:rFonts w:ascii="Times New Roman" w:hAnsi="Times New Roman" w:cs="Times New Roman"/>
        </w:rPr>
        <w:t xml:space="preserve">επιβεβαιώνει όλο και συχνότερα το αυθαίρετο της σχετικής επιλογής του κοινού νομοθέτη, καθόσον αναγκάζεται να προβεί σε πολύ </w:t>
      </w:r>
      <w:r w:rsidRPr="0096023D">
        <w:rPr>
          <w:rFonts w:ascii="Times New Roman" w:hAnsi="Times New Roman" w:cs="Times New Roman"/>
          <w:i/>
          <w:iCs/>
          <w:lang w:val="fr-FR"/>
        </w:rPr>
        <w:t>sophistiqu</w:t>
      </w:r>
      <w:r w:rsidRPr="0096023D">
        <w:rPr>
          <w:rFonts w:ascii="Times New Roman" w:hAnsi="Times New Roman" w:cs="Times New Roman"/>
          <w:i/>
          <w:iCs/>
        </w:rPr>
        <w:t>é</w:t>
      </w:r>
      <w:r w:rsidRPr="0096023D">
        <w:rPr>
          <w:rFonts w:ascii="Times New Roman" w:hAnsi="Times New Roman" w:cs="Times New Roman"/>
          <w:i/>
          <w:iCs/>
          <w:lang w:val="fr-FR"/>
        </w:rPr>
        <w:t>es</w:t>
      </w:r>
      <w:r w:rsidRPr="0096023D">
        <w:rPr>
          <w:rFonts w:ascii="Times New Roman" w:hAnsi="Times New Roman" w:cs="Times New Roman"/>
          <w:i/>
          <w:iCs/>
        </w:rPr>
        <w:t xml:space="preserve"> </w:t>
      </w:r>
      <w:r w:rsidRPr="0096023D">
        <w:rPr>
          <w:rFonts w:ascii="Times New Roman" w:hAnsi="Times New Roman" w:cs="Times New Roman"/>
        </w:rPr>
        <w:t>και όχι πειστικές διαφοροποιήσεις</w:t>
      </w:r>
      <w:r w:rsidRPr="0096023D">
        <w:rPr>
          <w:rStyle w:val="ab"/>
          <w:rFonts w:ascii="Times New Roman" w:hAnsi="Times New Roman" w:cs="Times New Roman"/>
        </w:rPr>
        <w:footnoteReference w:id="14"/>
      </w:r>
      <w:r w:rsidRPr="0096023D">
        <w:rPr>
          <w:rFonts w:ascii="Times New Roman" w:hAnsi="Times New Roman" w:cs="Times New Roman"/>
        </w:rPr>
        <w:t xml:space="preserve">. Κάθε ένδικο </w:t>
      </w:r>
      <w:r w:rsidRPr="0096023D">
        <w:rPr>
          <w:rFonts w:ascii="Times New Roman" w:hAnsi="Times New Roman" w:cs="Times New Roman"/>
        </w:rPr>
        <w:lastRenderedPageBreak/>
        <w:t xml:space="preserve">βοήθημα πρέπει να διασφαλίζει πλήρη και αποτελεσματική δικαστική προστασία, ανεξάρτητα από την ονομασία που θα του προσδώσει ο δικονομικός νομοθέτης, ο οποίος καλείται να οργανώσει κατάλληλα την προστασία αυτή στα όρια του άρθρου 26 του Συντάγματος. Θα πρέπει να τονιστεί στο σημείο αυτό ότι οι </w:t>
      </w:r>
      <w:r w:rsidR="0064080E" w:rsidRPr="0096023D">
        <w:rPr>
          <w:rFonts w:ascii="Times New Roman" w:hAnsi="Times New Roman" w:cs="Times New Roman"/>
        </w:rPr>
        <w:t>αιτιάσεις</w:t>
      </w:r>
      <w:r w:rsidRPr="0096023D">
        <w:rPr>
          <w:rFonts w:ascii="Times New Roman" w:hAnsi="Times New Roman" w:cs="Times New Roman"/>
        </w:rPr>
        <w:t xml:space="preserve"> που κατά καιρούς αντιμετώπισε ο ακυρωτικός δικαστής ως προς το εύρος του ελέγχου που επιτάσσουν τα ευρωπαϊκά κείμενα</w:t>
      </w:r>
      <w:r w:rsidR="0064080E" w:rsidRPr="0096023D">
        <w:rPr>
          <w:rFonts w:ascii="Times New Roman" w:hAnsi="Times New Roman" w:cs="Times New Roman"/>
        </w:rPr>
        <w:t xml:space="preserve"> (ιδίως το άρθρο 6 ΕΣΔΑ)</w:t>
      </w:r>
      <w:r w:rsidRPr="0096023D">
        <w:rPr>
          <w:rFonts w:ascii="Times New Roman" w:hAnsi="Times New Roman" w:cs="Times New Roman"/>
        </w:rPr>
        <w:t xml:space="preserve"> αναδεικνύουν την ανάγκη απεγκλωβισμού του από προκαθορισμένες στον νόμο με αναφορά στο Σύνταγμα μορφές ελέγχου</w:t>
      </w:r>
      <w:r w:rsidR="00596E61" w:rsidRPr="0096023D">
        <w:rPr>
          <w:rFonts w:ascii="Times New Roman" w:hAnsi="Times New Roman" w:cs="Times New Roman"/>
        </w:rPr>
        <w:t>. Σ</w:t>
      </w:r>
      <w:r w:rsidRPr="0096023D">
        <w:rPr>
          <w:rFonts w:ascii="Times New Roman" w:hAnsi="Times New Roman" w:cs="Times New Roman"/>
        </w:rPr>
        <w:t>ε πολλές αποφάσεις</w:t>
      </w:r>
      <w:r w:rsidR="00596E61" w:rsidRPr="0096023D">
        <w:rPr>
          <w:rFonts w:ascii="Times New Roman" w:hAnsi="Times New Roman" w:cs="Times New Roman"/>
        </w:rPr>
        <w:t xml:space="preserve"> το Συμβούλιο της Επικρατείας</w:t>
      </w:r>
      <w:r w:rsidRPr="0096023D">
        <w:rPr>
          <w:rFonts w:ascii="Times New Roman" w:hAnsi="Times New Roman" w:cs="Times New Roman"/>
        </w:rPr>
        <w:t xml:space="preserve"> επιχειρεί αγωνιωδώς να πείσει για την πληρότητα του ακυρωτικού ελέγχου και τη συμβατότητά του προς τις επιταγές του άρθρου 6 ΕΣΔΑ</w:t>
      </w:r>
      <w:r w:rsidR="0064080E" w:rsidRPr="0096023D">
        <w:rPr>
          <w:rStyle w:val="af8"/>
          <w:rFonts w:ascii="Times New Roman" w:hAnsi="Times New Roman" w:cs="Times New Roman"/>
        </w:rPr>
        <w:footnoteReference w:id="15"/>
      </w:r>
      <w:r w:rsidRPr="0096023D">
        <w:rPr>
          <w:rFonts w:ascii="Times New Roman" w:hAnsi="Times New Roman" w:cs="Times New Roman"/>
        </w:rPr>
        <w:t>. Η διάκριση σε διαφορές ουσίας και ακυρωτικές δεν αντιστοιχεί σε διαφορετικές κατά το περιεχόμενό τους διαφορές αλλά σε διαφορές που υποβάλλονται σε διαφορετικής έκτασης ή και έντασης έλεγχο, ο οποίος μπορεί, με εσωτερικές διαβαθμίσεις, να καταλήγει σε αποφάσεις με διαφορετικό περιεχόμενο. Αυτό οδήγησε στην εδραίωση δύο διαφορετικών δικονομικών καθεστώτων που αντιστοιχούν σε μια δυσδιάκριτη κατά το περιεχόμενό τους κατηγοριοποίηση των διοικητικών διαφορών, όπως ανάγλυφα προκύπτει από τη γνωστή απόφαση ΣτΕ Ολ 3919/2010</w:t>
      </w:r>
      <w:r w:rsidR="006C1C7D" w:rsidRPr="0096023D">
        <w:rPr>
          <w:rStyle w:val="af8"/>
          <w:rFonts w:ascii="Times New Roman" w:hAnsi="Times New Roman" w:cs="Times New Roman"/>
        </w:rPr>
        <w:footnoteReference w:id="16"/>
      </w:r>
      <w:r w:rsidR="007C62DB" w:rsidRPr="0096023D">
        <w:rPr>
          <w:rFonts w:ascii="Times New Roman" w:hAnsi="Times New Roman" w:cs="Times New Roman"/>
        </w:rPr>
        <w:t xml:space="preserve"> και τη μετέπειτα νομολογία</w:t>
      </w:r>
      <w:r w:rsidRPr="0096023D">
        <w:rPr>
          <w:rFonts w:ascii="Times New Roman" w:hAnsi="Times New Roman" w:cs="Times New Roman"/>
        </w:rPr>
        <w:t xml:space="preserve">. </w:t>
      </w:r>
    </w:p>
    <w:p w14:paraId="4585E0CD" w14:textId="65C32DD9" w:rsidR="002B3E78" w:rsidRPr="0096023D" w:rsidRDefault="001020F4" w:rsidP="0096023D">
      <w:pPr>
        <w:pStyle w:val="af7"/>
        <w:numPr>
          <w:ilvl w:val="0"/>
          <w:numId w:val="1"/>
        </w:numPr>
        <w:spacing w:line="360" w:lineRule="auto"/>
        <w:jc w:val="both"/>
        <w:rPr>
          <w:rFonts w:ascii="Times New Roman" w:hAnsi="Times New Roman" w:cs="Times New Roman"/>
        </w:rPr>
      </w:pPr>
      <w:r w:rsidRPr="0096023D">
        <w:rPr>
          <w:rFonts w:ascii="Times New Roman" w:hAnsi="Times New Roman" w:cs="Times New Roman"/>
          <w:lang w:val="en-US"/>
        </w:rPr>
        <w:lastRenderedPageBreak/>
        <w:t>E</w:t>
      </w:r>
      <w:r w:rsidRPr="0096023D">
        <w:rPr>
          <w:rFonts w:ascii="Times New Roman" w:hAnsi="Times New Roman" w:cs="Times New Roman"/>
        </w:rPr>
        <w:t>νδείκνυται η κ</w:t>
      </w:r>
      <w:r w:rsidR="00764E05" w:rsidRPr="0096023D">
        <w:rPr>
          <w:rFonts w:ascii="Times New Roman" w:hAnsi="Times New Roman" w:cs="Times New Roman"/>
        </w:rPr>
        <w:t>ατάργηση της ρύθμισης για το αντικείμενο της ακυρωτικής δικαστικής προσβολής: εκτελεστή πράξη διοικητικής αρχής, που έχει αμιγώς δικονομικό χαρακτήρα (προϋπόθεση του παραδεκτού της αίτησης ακύρωσης, άρθρο 45 παρ. 1 ΠΔ 18/1989). Ο δικαστής δεσμεύεται υπερβολικά ως προς το αντικείμενο της ακυρωτικής προσβολής</w:t>
      </w:r>
      <w:r w:rsidR="00766FA8" w:rsidRPr="0096023D">
        <w:rPr>
          <w:rStyle w:val="af8"/>
          <w:rFonts w:ascii="Times New Roman" w:hAnsi="Times New Roman" w:cs="Times New Roman"/>
        </w:rPr>
        <w:footnoteReference w:id="17"/>
      </w:r>
      <w:r w:rsidR="00764E05" w:rsidRPr="0096023D">
        <w:rPr>
          <w:rFonts w:ascii="Times New Roman" w:hAnsi="Times New Roman" w:cs="Times New Roman"/>
        </w:rPr>
        <w:t xml:space="preserve"> και δεν μπορεί να ελέγξει τις νέες μορφές διοικητικής δράσης (</w:t>
      </w:r>
      <w:r w:rsidR="00766FA8" w:rsidRPr="0096023D">
        <w:rPr>
          <w:rFonts w:ascii="Times New Roman" w:hAnsi="Times New Roman" w:cs="Times New Roman"/>
        </w:rPr>
        <w:t xml:space="preserve">δεν μπορεί να αντιμετωπίσει την </w:t>
      </w:r>
      <w:r w:rsidR="00764E05" w:rsidRPr="0096023D">
        <w:rPr>
          <w:rFonts w:ascii="Times New Roman" w:hAnsi="Times New Roman" w:cs="Times New Roman"/>
        </w:rPr>
        <w:t xml:space="preserve">εκθετική αύξηση της προσφυγής </w:t>
      </w:r>
      <w:r w:rsidR="00766FA8" w:rsidRPr="0096023D">
        <w:rPr>
          <w:rFonts w:ascii="Times New Roman" w:hAnsi="Times New Roman" w:cs="Times New Roman"/>
        </w:rPr>
        <w:t xml:space="preserve">της Διοίκησης </w:t>
      </w:r>
      <w:r w:rsidR="00764E05" w:rsidRPr="0096023D">
        <w:rPr>
          <w:rFonts w:ascii="Times New Roman" w:hAnsi="Times New Roman" w:cs="Times New Roman"/>
        </w:rPr>
        <w:t>στο ήπιο δίκαιο)</w:t>
      </w:r>
      <w:r w:rsidR="00326E89" w:rsidRPr="0096023D">
        <w:rPr>
          <w:rFonts w:ascii="Times New Roman" w:hAnsi="Times New Roman" w:cs="Times New Roman"/>
        </w:rPr>
        <w:t xml:space="preserve"> ούτε, κατ’ αρχήν, τις πράξεις οργάνων ΝΠΙΔ που ασκούν διοικητικό έργο, αναγκαζόμενος να καταφύγει στο γνωστό πλάσμα δικαίου περί νομικού προσώπου διφυούς χαρακτήρα</w:t>
      </w:r>
      <w:r w:rsidR="00764E05" w:rsidRPr="0096023D">
        <w:rPr>
          <w:rFonts w:ascii="Times New Roman" w:hAnsi="Times New Roman" w:cs="Times New Roman"/>
        </w:rPr>
        <w:t xml:space="preserve">. </w:t>
      </w:r>
    </w:p>
    <w:p w14:paraId="3C0E0232" w14:textId="77777777" w:rsidR="002B3E78" w:rsidRPr="0096023D" w:rsidRDefault="00764E05" w:rsidP="0096023D">
      <w:pPr>
        <w:pStyle w:val="af7"/>
        <w:numPr>
          <w:ilvl w:val="0"/>
          <w:numId w:val="1"/>
        </w:numPr>
        <w:spacing w:line="360" w:lineRule="auto"/>
        <w:jc w:val="both"/>
        <w:rPr>
          <w:rFonts w:ascii="Times New Roman" w:hAnsi="Times New Roman" w:cs="Times New Roman"/>
          <w:color w:val="000000" w:themeColor="text1"/>
        </w:rPr>
      </w:pPr>
      <w:r w:rsidRPr="0096023D">
        <w:rPr>
          <w:rFonts w:ascii="Times New Roman" w:hAnsi="Times New Roman" w:cs="Times New Roman"/>
        </w:rPr>
        <w:t>Θα ήταν σκόπιμη η κατάργηση της δυνατότητας υπαγωγής διαφορών ουσίας στην αρμοδιότητα του ΣτΕ με κοινό νόμο (άρθρο 95 παρ. 1 στοιχείο γ΄), εφόσον διαρκής επιδίωξη των αναθεωρητικών αλλά και νομοθετικών προσπαθειών είναι η ελάφρυνση του Ανώτατου Διοικητικού Δικαστηρίου από τον υπερβολικό φόρτο υποθέσεων. Ακόμη και η κατ’ εξαίρεση και για ιστορικούς λόγους υπαγωγή διαφορών ουσίας στην αρμοδιότητα του ΣτΕ (άρθρο 103 παρ. 4 και 65 παρ. 6) δεν δικαιολογείται πλέον, λαμβανομένης υπόψη της χειραφέτησης των ΤΔΔ στο μεγάλο διάστημα που μεσολάβησε από τη δημιουργία τους. Τα ΤΔΔ παρέχουν δικαστική προστασία με ισάξια εχέγγυα αντικειμενικότητας και ανεξαρτησίας, οπότε, με τη διατήρηση της υπαλληλικής προσφυγής ενώπιον του ΣτΕ, διασπάται χωρίς αποχρώντα λόγο η γενική αρμοδιότητα των ΤΔΔ επί των διοικητικών διαφορών ουσίας</w:t>
      </w:r>
      <w:r w:rsidR="00766FA8" w:rsidRPr="0096023D">
        <w:rPr>
          <w:rStyle w:val="af8"/>
          <w:rFonts w:ascii="Times New Roman" w:hAnsi="Times New Roman" w:cs="Times New Roman"/>
        </w:rPr>
        <w:footnoteReference w:id="18"/>
      </w:r>
      <w:r w:rsidRPr="0096023D">
        <w:rPr>
          <w:rFonts w:ascii="Times New Roman" w:hAnsi="Times New Roman" w:cs="Times New Roman"/>
        </w:rPr>
        <w:t xml:space="preserve">. </w:t>
      </w:r>
    </w:p>
    <w:p w14:paraId="00771D52" w14:textId="6886B467" w:rsidR="002B3E78" w:rsidRPr="0096023D" w:rsidRDefault="001020F4" w:rsidP="0096023D">
      <w:pPr>
        <w:pStyle w:val="af7"/>
        <w:numPr>
          <w:ilvl w:val="0"/>
          <w:numId w:val="1"/>
        </w:numPr>
        <w:spacing w:line="360" w:lineRule="auto"/>
        <w:jc w:val="both"/>
        <w:rPr>
          <w:rFonts w:ascii="Times New Roman" w:hAnsi="Times New Roman" w:cs="Times New Roman"/>
        </w:rPr>
      </w:pPr>
      <w:r w:rsidRPr="0096023D">
        <w:rPr>
          <w:rFonts w:ascii="Times New Roman" w:hAnsi="Times New Roman" w:cs="Times New Roman"/>
        </w:rPr>
        <w:t>Θα μπορούσε να ερευνηθεί το ενδεχόμενο συνταγματικής καθιέρωσης</w:t>
      </w:r>
      <w:r w:rsidR="00764E05" w:rsidRPr="0096023D">
        <w:rPr>
          <w:rFonts w:ascii="Times New Roman" w:hAnsi="Times New Roman" w:cs="Times New Roman"/>
        </w:rPr>
        <w:t xml:space="preserve"> της παροχής γνώμης από το ΣτΕ για κάθε νομοθετική ρύθμιση που αναφέρεται στη δικαιοδοτική ύλη και τη λειτουργία εν γένει των διοικητικών δικαστηρίων</w:t>
      </w:r>
      <w:r w:rsidRPr="0096023D">
        <w:rPr>
          <w:rFonts w:ascii="Times New Roman" w:hAnsi="Times New Roman" w:cs="Times New Roman"/>
        </w:rPr>
        <w:t>.</w:t>
      </w:r>
      <w:r w:rsidR="00764E05" w:rsidRPr="0096023D">
        <w:rPr>
          <w:rFonts w:ascii="Times New Roman" w:hAnsi="Times New Roman" w:cs="Times New Roman"/>
        </w:rPr>
        <w:t xml:space="preserve"> (</w:t>
      </w:r>
      <w:r w:rsidR="00766FA8" w:rsidRPr="0096023D">
        <w:rPr>
          <w:rFonts w:ascii="Times New Roman" w:hAnsi="Times New Roman" w:cs="Times New Roman"/>
        </w:rPr>
        <w:t xml:space="preserve">Ήδη </w:t>
      </w:r>
      <w:r w:rsidR="00764E05" w:rsidRPr="0096023D">
        <w:rPr>
          <w:rFonts w:ascii="Times New Roman" w:hAnsi="Times New Roman" w:cs="Times New Roman"/>
          <w:color w:val="000000" w:themeColor="text1"/>
        </w:rPr>
        <w:t>προβλέπεται στο άρθρο 15 παρ. 6 περ. β’ του Κώδικα Οργανισμού Δικαστηρίων – ν. 4938/2022)</w:t>
      </w:r>
      <w:r w:rsidR="00766FA8" w:rsidRPr="0096023D">
        <w:rPr>
          <w:rFonts w:ascii="Times New Roman" w:hAnsi="Times New Roman" w:cs="Times New Roman"/>
        </w:rPr>
        <w:t>.</w:t>
      </w:r>
      <w:r w:rsidR="00764E05" w:rsidRPr="0096023D">
        <w:rPr>
          <w:rFonts w:ascii="Times New Roman" w:hAnsi="Times New Roman" w:cs="Times New Roman"/>
        </w:rPr>
        <w:t xml:space="preserve"> Πιο τολμηρή θα ήταν, βεβαίως, η πρόβλεψη </w:t>
      </w:r>
      <w:r w:rsidR="00764E05" w:rsidRPr="0096023D">
        <w:rPr>
          <w:rFonts w:ascii="Times New Roman" w:hAnsi="Times New Roman" w:cs="Times New Roman"/>
        </w:rPr>
        <w:lastRenderedPageBreak/>
        <w:t xml:space="preserve">παροχής γνώμης για το σύνολο των σημαντικών νομοθετημάτων, κατά το πρότυπο του γαλλικού Συντάγματος, κάτι που συνεπάγεται αλλαγή της δομής του Δικαστηρίου. </w:t>
      </w:r>
      <w:r w:rsidR="00766FA8" w:rsidRPr="0096023D">
        <w:rPr>
          <w:rFonts w:ascii="Times New Roman" w:hAnsi="Times New Roman" w:cs="Times New Roman"/>
          <w:color w:val="000000" w:themeColor="text1"/>
        </w:rPr>
        <w:t>Έ</w:t>
      </w:r>
      <w:r w:rsidR="00764E05" w:rsidRPr="0096023D">
        <w:rPr>
          <w:rFonts w:ascii="Times New Roman" w:hAnsi="Times New Roman" w:cs="Times New Roman"/>
          <w:color w:val="000000" w:themeColor="text1"/>
        </w:rPr>
        <w:t>χει κατηγορηθεί</w:t>
      </w:r>
      <w:r w:rsidR="00F077BF" w:rsidRPr="0096023D">
        <w:rPr>
          <w:rFonts w:ascii="Times New Roman" w:hAnsi="Times New Roman" w:cs="Times New Roman"/>
          <w:color w:val="000000" w:themeColor="text1"/>
        </w:rPr>
        <w:t>,</w:t>
      </w:r>
      <w:r w:rsidR="00764E05" w:rsidRPr="0096023D">
        <w:rPr>
          <w:rFonts w:ascii="Times New Roman" w:hAnsi="Times New Roman" w:cs="Times New Roman"/>
          <w:color w:val="000000" w:themeColor="text1"/>
        </w:rPr>
        <w:t xml:space="preserve"> πάντως</w:t>
      </w:r>
      <w:r w:rsidR="00F077BF" w:rsidRPr="0096023D">
        <w:rPr>
          <w:rFonts w:ascii="Times New Roman" w:hAnsi="Times New Roman" w:cs="Times New Roman"/>
          <w:color w:val="000000" w:themeColor="text1"/>
        </w:rPr>
        <w:t>,</w:t>
      </w:r>
      <w:r w:rsidR="00764E05" w:rsidRPr="0096023D">
        <w:rPr>
          <w:rFonts w:ascii="Times New Roman" w:hAnsi="Times New Roman" w:cs="Times New Roman"/>
          <w:color w:val="000000" w:themeColor="text1"/>
        </w:rPr>
        <w:t xml:space="preserve"> το δικαστήριο για την άσκηση της ευχέρειας αυτής από μερίδα της θεωρίας, διότι, με τον τρόπο αυτό, ασκεί “σκιώδη” προληπτικό έλεγχο των νόμων.</w:t>
      </w:r>
      <w:r w:rsidR="00326E89" w:rsidRPr="0096023D">
        <w:rPr>
          <w:rFonts w:ascii="Times New Roman" w:hAnsi="Times New Roman" w:cs="Times New Roman"/>
          <w:color w:val="000000" w:themeColor="text1"/>
        </w:rPr>
        <w:t xml:space="preserve"> Ίσως, </w:t>
      </w:r>
      <w:r w:rsidR="00F077BF" w:rsidRPr="0096023D">
        <w:rPr>
          <w:rFonts w:ascii="Times New Roman" w:hAnsi="Times New Roman" w:cs="Times New Roman"/>
          <w:color w:val="000000" w:themeColor="text1"/>
        </w:rPr>
        <w:t>με την αρμοδιότητα αυτή</w:t>
      </w:r>
      <w:r w:rsidR="00326E89" w:rsidRPr="0096023D">
        <w:rPr>
          <w:rFonts w:ascii="Times New Roman" w:hAnsi="Times New Roman" w:cs="Times New Roman"/>
          <w:color w:val="000000" w:themeColor="text1"/>
        </w:rPr>
        <w:t>, καθίσταται το ΣτΕ ευθέως συνταγματικό δικαστήριο!</w:t>
      </w:r>
    </w:p>
    <w:p w14:paraId="74AC8E81" w14:textId="05C9CDF2" w:rsidR="002B3E78" w:rsidRPr="0096023D" w:rsidRDefault="00764E05" w:rsidP="0096023D">
      <w:pPr>
        <w:pStyle w:val="af7"/>
        <w:numPr>
          <w:ilvl w:val="0"/>
          <w:numId w:val="1"/>
        </w:numPr>
        <w:spacing w:line="360" w:lineRule="auto"/>
        <w:jc w:val="both"/>
        <w:rPr>
          <w:rFonts w:ascii="Times New Roman" w:hAnsi="Times New Roman" w:cs="Times New Roman"/>
        </w:rPr>
      </w:pPr>
      <w:r w:rsidRPr="0096023D">
        <w:rPr>
          <w:rFonts w:ascii="Times New Roman" w:hAnsi="Times New Roman" w:cs="Times New Roman"/>
        </w:rPr>
        <w:t>Προβληματική είναι η συνάρθρωση των διατάξεων που αφορούν την υποχρέωση συμμόρφωσης της Διοίκησης στις δικαστικές αποφάσεις</w:t>
      </w:r>
      <w:r w:rsidR="00F077BF" w:rsidRPr="0096023D">
        <w:rPr>
          <w:rStyle w:val="af8"/>
          <w:rFonts w:ascii="Times New Roman" w:hAnsi="Times New Roman" w:cs="Times New Roman"/>
        </w:rPr>
        <w:footnoteReference w:id="19"/>
      </w:r>
      <w:r w:rsidRPr="0096023D">
        <w:rPr>
          <w:rFonts w:ascii="Times New Roman" w:hAnsi="Times New Roman" w:cs="Times New Roman"/>
        </w:rPr>
        <w:t xml:space="preserve">. Η διάταξη του άρθρου 94 παρ. 4 πρέπει να εξετασθεί από κοινού με τη διάταξη του άρθρου 95 παρ. 5 την οποία συμπληρώνει και εξειδικεύει. Ακριβέστερα, η χωροταξία των δύο διατάξεων δεν φαίνεται να ανταποκρίνεται στη λογική και κανονιστική σειρά τους. Η πρώτη κρίσιμη διάταξη του συνταγματικού πλαισίου της συμμόρφωσης είναι η αναθεωρημένη το 2001 ρύθμιση του πρώτου εδαφίου της παραγράφου 5 του άρθρου 95, σύμφωνα με την οποία η Διοίκηση έχει υποχρέωση να συμμορφώνεται προς όλες ανεξαιρέτως τις δικαστικές αποφάσεις και όχι μόνον τις ακυρωτικές αποφάσεις του ΣτΕ. Ο κανόνας αυτός συμπληρώνεται με τη ρύθμιση του τρίτου εδαφίου του άρθρου 95 παρ. 5, κατά την οποία, «νόμος ορίζει τα αναγκαία μέτρα για τη διασφάλιση της συμμόρφωσης της διοίκησης». Τις ανωτέρω διατάξεις εξειδικεύουν οι ρυθμίσεις των δύο πρώτων εδαφίων της παραγράφου 4 του άρθρου 94 που διαλαμβάνουν τα εξής: «στα πολιτικά ή διοικητικά δικαστήρια μπορεί να ανατεθεί και κάθε άλλη αρμοδιότητα διοικητικής φύσης, όπως νόμος ορίζει. Στις αρμοδιότητες αυτές περιλαμβάνεται και η λήψη μέτρων για τη συμμόρφωση της διοίκησης στις δικαστικές αποφάσεις». Ο κανόνας αυτός συμπληρώνεται από ένα μέτρο εγγύησης της εφαρμογής των προηγουμένων. </w:t>
      </w:r>
      <w:r w:rsidRPr="0096023D">
        <w:rPr>
          <w:rFonts w:ascii="Times New Roman" w:hAnsi="Times New Roman" w:cs="Times New Roman"/>
        </w:rPr>
        <w:lastRenderedPageBreak/>
        <w:t xml:space="preserve">Πρόκειται για τη διάταξη του τρίτου εδαφίου του άρθρου 94 παρ. 4 που επιλύει σε συνταγματικό επίπεδο το ζήτημα της αναγκαστικής εκτέλεσης σε βάρος του Δημοσίου και των λοιπών ΝΠΔΔ, το οποίο είχε ανακύψει και στην Ελλάδα λόγω της κύρωσης του Διεθνούς Συμφώνου των Ατομικών και Πολιτικών Δικαιωμάτων: «οι δικαστικές αποφάσεις εκτελούνται αναγκαστικά και κατά του Δημοσίου, των ΟΤΑ και των λοιπών ΝΠΔΔ, όπως νόμος ορίζει». Τέλος, το πλέγμα των κανόνων της συμμόρφωσης ολοκληρώνει η ρύθμιση του δευτέρου εδαφίου του άρθρου 95 παρ. 5 Σ, σύμφωνα με την οποία, η παράβαση της υποχρέωσης συμμόρφωσης στις δικαστικές αποφάσεις γεννά ευθύνη για κάθε αρμόδιο όργανο, όπως νόμος ορίζει». </w:t>
      </w:r>
      <w:r w:rsidR="00326E89" w:rsidRPr="0096023D">
        <w:rPr>
          <w:rFonts w:ascii="Times New Roman" w:hAnsi="Times New Roman" w:cs="Times New Roman"/>
        </w:rPr>
        <w:t xml:space="preserve">Επιβάλλεται η ενεργοποίηση της διάταξης αυτής, που πρέπει να έχει άμεσο αποτέλεσμα. </w:t>
      </w:r>
      <w:r w:rsidR="00E14CAD" w:rsidRPr="0096023D">
        <w:rPr>
          <w:rFonts w:ascii="Times New Roman" w:hAnsi="Times New Roman" w:cs="Times New Roman"/>
        </w:rPr>
        <w:t>Χρήζει εν προκειμένω μνείας</w:t>
      </w:r>
      <w:r w:rsidR="00326E89" w:rsidRPr="0096023D">
        <w:rPr>
          <w:rFonts w:ascii="Times New Roman" w:hAnsi="Times New Roman" w:cs="Times New Roman"/>
        </w:rPr>
        <w:t xml:space="preserve"> </w:t>
      </w:r>
      <w:r w:rsidR="00E14CAD" w:rsidRPr="0096023D">
        <w:rPr>
          <w:rFonts w:ascii="Times New Roman" w:hAnsi="Times New Roman" w:cs="Times New Roman"/>
        </w:rPr>
        <w:t>η</w:t>
      </w:r>
      <w:r w:rsidR="00326E89" w:rsidRPr="0096023D">
        <w:rPr>
          <w:rFonts w:ascii="Times New Roman" w:hAnsi="Times New Roman" w:cs="Times New Roman"/>
        </w:rPr>
        <w:t xml:space="preserve"> απόφαση ΣτΕ </w:t>
      </w:r>
      <w:r w:rsidR="00596E61" w:rsidRPr="0096023D">
        <w:rPr>
          <w:rFonts w:ascii="Times New Roman" w:hAnsi="Times New Roman" w:cs="Times New Roman"/>
        </w:rPr>
        <w:t xml:space="preserve">Ολ </w:t>
      </w:r>
      <w:r w:rsidR="00326E89" w:rsidRPr="0096023D">
        <w:rPr>
          <w:rFonts w:ascii="Times New Roman" w:hAnsi="Times New Roman" w:cs="Times New Roman"/>
        </w:rPr>
        <w:t>2102/2019, που ακύρωσε οικοδομική άδεια (ακριβέστερα αναθεώρηση αυτής) για την ανέγερση ξενοδοχείου στην περιοχή Μακρυγιάννη, εντός του αρχαιολογικού χώρου της Ακρόπολης. Η απόφαση συνοδεύεται από πέντε πρακτικά του Τριμελούς Συμβουλίου Συμμόρφωσης που διαπιστώνουν την έλλειψη συμμόρφωσης και τάσσουν νέα προθεσμία στη Διοίκηση, ορίζοντας εντεταλμένο δικαστή προς διευκόλυνσή της</w:t>
      </w:r>
      <w:r w:rsidR="00596E61" w:rsidRPr="0096023D">
        <w:rPr>
          <w:rStyle w:val="af8"/>
          <w:rFonts w:ascii="Times New Roman" w:hAnsi="Times New Roman" w:cs="Times New Roman"/>
        </w:rPr>
        <w:footnoteReference w:id="20"/>
      </w:r>
      <w:r w:rsidR="00326E89" w:rsidRPr="0096023D">
        <w:rPr>
          <w:rFonts w:ascii="Times New Roman" w:hAnsi="Times New Roman" w:cs="Times New Roman"/>
        </w:rPr>
        <w:t xml:space="preserve">. Εξι χρόνια μετά τη δημοσίευση της ακυρωτικής απόφασης, το ξενοδοχείο παραμένει στην αρχική του μορφή λόγω αδυναμίας (;), δυσχέρειας (;), </w:t>
      </w:r>
      <w:r w:rsidR="00E14CAD" w:rsidRPr="0096023D">
        <w:rPr>
          <w:rFonts w:ascii="Times New Roman" w:hAnsi="Times New Roman" w:cs="Times New Roman"/>
        </w:rPr>
        <w:t xml:space="preserve">ή </w:t>
      </w:r>
      <w:r w:rsidR="00326E89" w:rsidRPr="0096023D">
        <w:rPr>
          <w:rFonts w:ascii="Times New Roman" w:hAnsi="Times New Roman" w:cs="Times New Roman"/>
        </w:rPr>
        <w:t>δυστροπίας (;) της Διοίκησης να συμμορφωθεί. Είτε η Διοίκηση εμπαίζει το Δικαστήριο είτε η πραγματικότητα εμπαίζει το Σύνταγμα.</w:t>
      </w:r>
    </w:p>
    <w:p w14:paraId="3367B7C7" w14:textId="3A3BE102" w:rsidR="002B3E78" w:rsidRPr="0036465A" w:rsidRDefault="00764E05" w:rsidP="0096023D">
      <w:pPr>
        <w:spacing w:line="360" w:lineRule="auto"/>
        <w:jc w:val="both"/>
        <w:rPr>
          <w:rFonts w:ascii="Times New Roman" w:hAnsi="Times New Roman" w:cs="Times New Roman"/>
        </w:rPr>
      </w:pPr>
      <w:r w:rsidRPr="0096023D">
        <w:rPr>
          <w:rFonts w:ascii="Times New Roman" w:hAnsi="Times New Roman" w:cs="Times New Roman"/>
        </w:rPr>
        <w:t>Δύο θα πρέπει να είναι οι βασικοί προσανατολισμοί</w:t>
      </w:r>
      <w:r w:rsidR="00326E89" w:rsidRPr="0096023D">
        <w:rPr>
          <w:rFonts w:ascii="Times New Roman" w:hAnsi="Times New Roman" w:cs="Times New Roman"/>
        </w:rPr>
        <w:t xml:space="preserve"> της αναθεώρησης της διοικητικής δικαιοσύνης</w:t>
      </w:r>
      <w:r w:rsidRPr="0096023D">
        <w:rPr>
          <w:rFonts w:ascii="Times New Roman" w:hAnsi="Times New Roman" w:cs="Times New Roman"/>
        </w:rPr>
        <w:t xml:space="preserve">. </w:t>
      </w:r>
      <w:r w:rsidRPr="0096023D">
        <w:rPr>
          <w:rFonts w:ascii="Times New Roman" w:hAnsi="Times New Roman" w:cs="Times New Roman"/>
          <w:u w:val="single"/>
        </w:rPr>
        <w:t>Διευκόλυνση και εξορθολογισμός</w:t>
      </w:r>
      <w:r w:rsidRPr="0096023D">
        <w:rPr>
          <w:rFonts w:ascii="Times New Roman" w:hAnsi="Times New Roman" w:cs="Times New Roman"/>
        </w:rPr>
        <w:t xml:space="preserve"> της δικαστικής προστασίας κατά των πράξεων της δημόσιας εξουσίας, χωρίς, βεβαίως, υπεραπλουστεύσεις που θα ανέτρεπαν παγιωμένους και επιτυχημένους θεσμούς και δεν θα μπορούσαν να καλύψουν την πολυσχιδή πραγματικότητα</w:t>
      </w:r>
      <w:r w:rsidRPr="0096023D">
        <w:rPr>
          <w:rStyle w:val="ab"/>
          <w:rFonts w:ascii="Times New Roman" w:hAnsi="Times New Roman" w:cs="Times New Roman"/>
        </w:rPr>
        <w:footnoteReference w:id="21"/>
      </w:r>
      <w:r w:rsidRPr="0096023D">
        <w:rPr>
          <w:rFonts w:ascii="Times New Roman" w:hAnsi="Times New Roman" w:cs="Times New Roman"/>
        </w:rPr>
        <w:t xml:space="preserve"> και </w:t>
      </w:r>
      <w:r w:rsidRPr="0096023D">
        <w:rPr>
          <w:rFonts w:ascii="Times New Roman" w:hAnsi="Times New Roman" w:cs="Times New Roman"/>
          <w:u w:val="single"/>
        </w:rPr>
        <w:t xml:space="preserve">αποφυγή διατάξεων </w:t>
      </w:r>
      <w:r w:rsidRPr="0096023D">
        <w:rPr>
          <w:rFonts w:ascii="Times New Roman" w:hAnsi="Times New Roman" w:cs="Times New Roman"/>
          <w:i/>
          <w:iCs/>
          <w:u w:val="single"/>
        </w:rPr>
        <w:t xml:space="preserve">«περιττής </w:t>
      </w:r>
      <w:r w:rsidRPr="0096023D">
        <w:rPr>
          <w:rFonts w:ascii="Times New Roman" w:hAnsi="Times New Roman" w:cs="Times New Roman"/>
          <w:i/>
          <w:iCs/>
          <w:u w:val="single"/>
        </w:rPr>
        <w:lastRenderedPageBreak/>
        <w:t>δικονομικής σχολαστικότητας</w:t>
      </w:r>
      <w:r w:rsidRPr="0096023D">
        <w:rPr>
          <w:rFonts w:ascii="Times New Roman" w:hAnsi="Times New Roman" w:cs="Times New Roman"/>
          <w:i/>
          <w:iCs/>
        </w:rPr>
        <w:t>»</w:t>
      </w:r>
      <w:r w:rsidRPr="0096023D">
        <w:rPr>
          <w:rFonts w:ascii="Times New Roman" w:hAnsi="Times New Roman" w:cs="Times New Roman"/>
        </w:rPr>
        <w:t xml:space="preserve">, οι οποίες εγκλωβίζουν υπέρμετρα τον δικαστή και δεν έχουν θέση σε ένα συνταγματικό κείμενο, κατ’ εξοχήν λιτό. </w:t>
      </w:r>
    </w:p>
    <w:sectPr w:rsidR="002B3E78" w:rsidRPr="0036465A" w:rsidSect="0096023D">
      <w:footerReference w:type="default" r:id="rId8"/>
      <w:pgSz w:w="11906" w:h="16838"/>
      <w:pgMar w:top="1440" w:right="1800" w:bottom="1440" w:left="1800" w:header="0"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4FBE67" w14:textId="77777777" w:rsidR="00756C0E" w:rsidRDefault="00756C0E">
      <w:pPr>
        <w:spacing w:after="0" w:line="240" w:lineRule="auto"/>
      </w:pPr>
      <w:r>
        <w:separator/>
      </w:r>
    </w:p>
  </w:endnote>
  <w:endnote w:type="continuationSeparator" w:id="0">
    <w:p w14:paraId="02580835" w14:textId="77777777" w:rsidR="00756C0E" w:rsidRDefault="00756C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Liberation Sans">
    <w:altName w:val="Arial"/>
    <w:panose1 w:val="020B0604020202020204"/>
    <w:charset w:val="01"/>
    <w:family w:val="swiss"/>
    <w:pitch w:val="variable"/>
  </w:font>
  <w:font w:name="DejaVu Sans">
    <w:panose1 w:val="020B0604020202020204"/>
    <w:charset w:val="00"/>
    <w:family w:val="roman"/>
    <w:notTrueType/>
    <w:pitch w:val="default"/>
  </w:font>
  <w:font w:name="FreeSans">
    <w:altName w:val="Cambria"/>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08414413"/>
      <w:docPartObj>
        <w:docPartGallery w:val="Page Numbers (Bottom of Page)"/>
        <w:docPartUnique/>
      </w:docPartObj>
    </w:sdtPr>
    <w:sdtContent>
      <w:p w14:paraId="33304E34" w14:textId="77777777" w:rsidR="002B3E78" w:rsidRDefault="00764E05">
        <w:pPr>
          <w:pStyle w:val="a7"/>
        </w:pPr>
        <w:r>
          <w:rPr>
            <w:rStyle w:val="aa"/>
          </w:rPr>
          <w:fldChar w:fldCharType="begin"/>
        </w:r>
        <w:r>
          <w:rPr>
            <w:rStyle w:val="aa"/>
          </w:rPr>
          <w:instrText>PAGE</w:instrText>
        </w:r>
        <w:r>
          <w:rPr>
            <w:rStyle w:val="aa"/>
          </w:rPr>
          <w:fldChar w:fldCharType="separate"/>
        </w:r>
        <w:r>
          <w:rPr>
            <w:rStyle w:val="aa"/>
          </w:rPr>
          <w:t>10</w:t>
        </w:r>
        <w:r>
          <w:rPr>
            <w:rStyle w:val="aa"/>
          </w:rPr>
          <w:fldChar w:fldCharType="end"/>
        </w:r>
      </w:p>
    </w:sdtContent>
  </w:sdt>
  <w:p w14:paraId="5F34E958" w14:textId="77777777" w:rsidR="002B3E78" w:rsidRDefault="002B3E7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F67399" w14:textId="77777777" w:rsidR="00756C0E" w:rsidRDefault="00756C0E">
      <w:r>
        <w:separator/>
      </w:r>
    </w:p>
  </w:footnote>
  <w:footnote w:type="continuationSeparator" w:id="0">
    <w:p w14:paraId="41FCAEB4" w14:textId="77777777" w:rsidR="00756C0E" w:rsidRDefault="00756C0E">
      <w:r>
        <w:continuationSeparator/>
      </w:r>
    </w:p>
  </w:footnote>
  <w:footnote w:id="1">
    <w:p w14:paraId="05108A37" w14:textId="77777777" w:rsidR="007B14F2" w:rsidRPr="0036465A" w:rsidRDefault="007B14F2" w:rsidP="0096023D">
      <w:pPr>
        <w:pStyle w:val="a9"/>
        <w:spacing w:line="276" w:lineRule="auto"/>
        <w:jc w:val="both"/>
        <w:rPr>
          <w:rFonts w:ascii="Times New Roman" w:hAnsi="Times New Roman" w:cs="Times New Roman"/>
        </w:rPr>
      </w:pPr>
      <w:r w:rsidRPr="0036465A">
        <w:rPr>
          <w:rStyle w:val="af8"/>
          <w:rFonts w:ascii="Times New Roman" w:hAnsi="Times New Roman" w:cs="Times New Roman"/>
        </w:rPr>
        <w:footnoteRef/>
      </w:r>
      <w:r w:rsidRPr="0036465A">
        <w:rPr>
          <w:rFonts w:ascii="Times New Roman" w:hAnsi="Times New Roman" w:cs="Times New Roman"/>
        </w:rPr>
        <w:t xml:space="preserve"> </w:t>
      </w:r>
      <w:r w:rsidRPr="0036465A">
        <w:rPr>
          <w:rFonts w:ascii="Times New Roman" w:hAnsi="Times New Roman" w:cs="Times New Roman"/>
          <w:color w:val="000000"/>
          <w:kern w:val="0"/>
        </w:rPr>
        <w:t>Μία καλοπροαίρετη προσέγγιση θα δεχόταν ότι το Σύνταγμα περιέχει διεξοδικές ρυθμίσεις εξαιτίας της δυσπιστίας του συνταγματικού προς τον κοινό νομοθέτη και της ανάγκης θέσης ορίων σε ένα σύστημα που δεν γνώριζε, το 1975, τη διοικητική δικαιοσύνη με τον τρόπο που την γνωρίζει σήμερα. Μία κακοπροαίρετη κριτική θα έλεγε ότι οι διεξοδικές ρυθμίσεις του Συντάγματος εκφράζουν μία γενικότερη αμηχανία του συντακτικού νομοθέτη, ο οποίος δεν φαίνεται να ξέρει πάντα τι είναι αναγκαίο να αποτελέσει αντικείμενο μίας συνταγματικής ρύθμισης.</w:t>
      </w:r>
    </w:p>
  </w:footnote>
  <w:footnote w:id="2">
    <w:p w14:paraId="669310C2" w14:textId="52533AFC" w:rsidR="002B3E78" w:rsidRPr="001B319D" w:rsidRDefault="00764E05" w:rsidP="0096023D">
      <w:pPr>
        <w:pStyle w:val="a9"/>
        <w:spacing w:line="276" w:lineRule="auto"/>
        <w:jc w:val="both"/>
        <w:rPr>
          <w:rFonts w:ascii="Times New Roman" w:hAnsi="Times New Roman" w:cs="Times New Roman"/>
          <w:color w:val="000000" w:themeColor="text1"/>
          <w:lang w:val="de-DE"/>
        </w:rPr>
      </w:pPr>
      <w:r w:rsidRPr="009566BD">
        <w:rPr>
          <w:rStyle w:val="ae"/>
          <w:rFonts w:ascii="Times New Roman" w:hAnsi="Times New Roman" w:cs="Times New Roman"/>
          <w:vertAlign w:val="superscript"/>
        </w:rPr>
        <w:footnoteRef/>
      </w:r>
      <w:r w:rsidRPr="0036465A">
        <w:rPr>
          <w:rFonts w:ascii="Times New Roman" w:hAnsi="Times New Roman" w:cs="Times New Roman"/>
          <w:lang w:val="de-DE"/>
        </w:rPr>
        <w:t xml:space="preserve"> </w:t>
      </w:r>
      <w:r w:rsidR="007C62DB" w:rsidRPr="007C62DB">
        <w:rPr>
          <w:rFonts w:ascii="Times New Roman" w:hAnsi="Times New Roman" w:cs="Times New Roman"/>
          <w:lang w:val="de-DE"/>
        </w:rPr>
        <w:t>«</w:t>
      </w:r>
      <w:r w:rsidRPr="007C62DB">
        <w:rPr>
          <w:rFonts w:ascii="Times New Roman" w:hAnsi="Times New Roman" w:cs="Times New Roman"/>
          <w:i/>
          <w:iCs/>
          <w:lang w:val="de-DE"/>
        </w:rPr>
        <w:t xml:space="preserve">4) Wird jemand durch die öffentliche Gewalt in seinen Rechten verletzt, so steht ihm der Rechtsweg offen. Soweit eine andere Zuständigkeit nicht begründet ist, ist der ordentliche Rechtsweg </w:t>
      </w:r>
      <w:r w:rsidRPr="007C62DB">
        <w:rPr>
          <w:rFonts w:ascii="Times New Roman" w:hAnsi="Times New Roman" w:cs="Times New Roman"/>
          <w:i/>
          <w:iCs/>
          <w:color w:val="000000" w:themeColor="text1"/>
          <w:lang w:val="de-DE"/>
        </w:rPr>
        <w:t>gegeben. Artikel 10 Abs. 2 Satz 2 bleibt unberührt.</w:t>
      </w:r>
      <w:r w:rsidR="007C62DB" w:rsidRPr="007C62DB">
        <w:rPr>
          <w:rFonts w:ascii="Times New Roman" w:hAnsi="Times New Roman" w:cs="Times New Roman"/>
          <w:i/>
          <w:iCs/>
          <w:color w:val="000000" w:themeColor="text1"/>
          <w:lang w:val="de-DE"/>
        </w:rPr>
        <w:t>»</w:t>
      </w:r>
      <w:r w:rsidR="00B14613" w:rsidRPr="001B319D">
        <w:rPr>
          <w:rFonts w:ascii="Times New Roman" w:hAnsi="Times New Roman" w:cs="Times New Roman"/>
          <w:color w:val="000000" w:themeColor="text1"/>
          <w:lang w:val="de-DE"/>
        </w:rPr>
        <w:t xml:space="preserve"> </w:t>
      </w:r>
      <w:r w:rsidR="00B14613" w:rsidRPr="001B319D">
        <w:rPr>
          <w:rFonts w:ascii="Times New Roman" w:hAnsi="Times New Roman" w:cs="Times New Roman"/>
          <w:color w:val="000000" w:themeColor="text1"/>
        </w:rPr>
        <w:t>Βλ</w:t>
      </w:r>
      <w:r w:rsidR="00B14613" w:rsidRPr="001B319D">
        <w:rPr>
          <w:rFonts w:ascii="Times New Roman" w:hAnsi="Times New Roman" w:cs="Times New Roman"/>
          <w:color w:val="000000" w:themeColor="text1"/>
          <w:lang w:val="de-DE"/>
        </w:rPr>
        <w:t xml:space="preserve">. </w:t>
      </w:r>
      <w:r w:rsidR="00B14613" w:rsidRPr="001B319D">
        <w:rPr>
          <w:rFonts w:ascii="Times New Roman" w:hAnsi="Times New Roman" w:cs="Times New Roman"/>
          <w:color w:val="000000" w:themeColor="text1"/>
        </w:rPr>
        <w:t>διεξοδική</w:t>
      </w:r>
      <w:r w:rsidR="00B14613" w:rsidRPr="001B319D">
        <w:rPr>
          <w:rFonts w:ascii="Times New Roman" w:hAnsi="Times New Roman" w:cs="Times New Roman"/>
          <w:color w:val="000000" w:themeColor="text1"/>
          <w:lang w:val="de-DE"/>
        </w:rPr>
        <w:t xml:space="preserve"> </w:t>
      </w:r>
      <w:r w:rsidR="00B14613" w:rsidRPr="001B319D">
        <w:rPr>
          <w:rFonts w:ascii="Times New Roman" w:hAnsi="Times New Roman" w:cs="Times New Roman"/>
          <w:color w:val="000000" w:themeColor="text1"/>
        </w:rPr>
        <w:t>ανάλυση</w:t>
      </w:r>
      <w:r w:rsidR="00B14613" w:rsidRPr="001B319D">
        <w:rPr>
          <w:rFonts w:ascii="Times New Roman" w:hAnsi="Times New Roman" w:cs="Times New Roman"/>
          <w:color w:val="000000" w:themeColor="text1"/>
          <w:lang w:val="de-DE"/>
        </w:rPr>
        <w:t xml:space="preserve"> </w:t>
      </w:r>
      <w:r w:rsidR="00B14613" w:rsidRPr="001B319D">
        <w:rPr>
          <w:rFonts w:ascii="Times New Roman" w:hAnsi="Times New Roman" w:cs="Times New Roman"/>
          <w:color w:val="000000" w:themeColor="text1"/>
        </w:rPr>
        <w:t>της</w:t>
      </w:r>
      <w:r w:rsidR="00B14613" w:rsidRPr="001B319D">
        <w:rPr>
          <w:rFonts w:ascii="Times New Roman" w:hAnsi="Times New Roman" w:cs="Times New Roman"/>
          <w:color w:val="000000" w:themeColor="text1"/>
          <w:lang w:val="de-DE"/>
        </w:rPr>
        <w:t xml:space="preserve"> </w:t>
      </w:r>
      <w:r w:rsidR="00B14613" w:rsidRPr="001B319D">
        <w:rPr>
          <w:rFonts w:ascii="Times New Roman" w:hAnsi="Times New Roman" w:cs="Times New Roman"/>
          <w:color w:val="000000" w:themeColor="text1"/>
        </w:rPr>
        <w:t>διάταξης</w:t>
      </w:r>
      <w:r w:rsidR="00B14613" w:rsidRPr="001B319D">
        <w:rPr>
          <w:rFonts w:ascii="Times New Roman" w:hAnsi="Times New Roman" w:cs="Times New Roman"/>
          <w:color w:val="000000" w:themeColor="text1"/>
          <w:lang w:val="de-DE"/>
        </w:rPr>
        <w:t xml:space="preserve"> </w:t>
      </w:r>
      <w:r w:rsidR="00B14613" w:rsidRPr="001B319D">
        <w:rPr>
          <w:rFonts w:ascii="Times New Roman" w:hAnsi="Times New Roman" w:cs="Times New Roman"/>
          <w:color w:val="000000" w:themeColor="text1"/>
        </w:rPr>
        <w:t>από</w:t>
      </w:r>
      <w:r w:rsidR="00B14613" w:rsidRPr="001B319D">
        <w:rPr>
          <w:rFonts w:ascii="Times New Roman" w:hAnsi="Times New Roman" w:cs="Times New Roman"/>
          <w:color w:val="000000" w:themeColor="text1"/>
          <w:lang w:val="de-DE"/>
        </w:rPr>
        <w:t xml:space="preserve"> </w:t>
      </w:r>
      <w:r w:rsidR="00B14613" w:rsidRPr="001B319D">
        <w:rPr>
          <w:rFonts w:ascii="Times New Roman" w:hAnsi="Times New Roman" w:cs="Times New Roman"/>
          <w:i/>
          <w:iCs/>
          <w:color w:val="000000" w:themeColor="text1"/>
          <w:lang w:val="de-DE"/>
        </w:rPr>
        <w:t>E. Schmidt-Aßmann</w:t>
      </w:r>
      <w:r w:rsidR="00B14613" w:rsidRPr="001B319D">
        <w:rPr>
          <w:rFonts w:ascii="Times New Roman" w:hAnsi="Times New Roman" w:cs="Times New Roman"/>
          <w:color w:val="000000" w:themeColor="text1"/>
          <w:lang w:val="de-DE"/>
        </w:rPr>
        <w:t xml:space="preserve">, </w:t>
      </w:r>
      <w:r w:rsidR="007424E9" w:rsidRPr="001B319D">
        <w:rPr>
          <w:rFonts w:ascii="Times New Roman" w:hAnsi="Times New Roman" w:cs="Times New Roman"/>
          <w:color w:val="000000" w:themeColor="text1"/>
          <w:lang w:val="de-DE"/>
        </w:rPr>
        <w:t>Die Rechtsschutzgarantie des Art. 19 Abs. 4 GG, in Maunz/Dürig, Grundgesetz-Kommentar, C.H. Beck, Sonderdruck</w:t>
      </w:r>
      <w:r w:rsidR="001020F4">
        <w:rPr>
          <w:rFonts w:ascii="Times New Roman" w:hAnsi="Times New Roman" w:cs="Times New Roman"/>
          <w:color w:val="000000" w:themeColor="text1"/>
          <w:lang w:val="de-DE"/>
        </w:rPr>
        <w:t>,</w:t>
      </w:r>
      <w:r w:rsidR="007424E9" w:rsidRPr="001B319D">
        <w:rPr>
          <w:rFonts w:ascii="Times New Roman" w:hAnsi="Times New Roman" w:cs="Times New Roman"/>
          <w:color w:val="000000" w:themeColor="text1"/>
          <w:lang w:val="de-DE"/>
        </w:rPr>
        <w:t xml:space="preserve"> 2014.</w:t>
      </w:r>
    </w:p>
  </w:footnote>
  <w:footnote w:id="3">
    <w:p w14:paraId="32F6C5D5" w14:textId="5E0AA4F8" w:rsidR="002B3E78" w:rsidRPr="001B319D" w:rsidRDefault="00764E05" w:rsidP="0096023D">
      <w:pPr>
        <w:pStyle w:val="a9"/>
        <w:spacing w:line="276" w:lineRule="auto"/>
        <w:jc w:val="both"/>
        <w:rPr>
          <w:rFonts w:ascii="Times New Roman" w:hAnsi="Times New Roman" w:cs="Times New Roman"/>
          <w:color w:val="000000" w:themeColor="text1"/>
        </w:rPr>
      </w:pPr>
      <w:r w:rsidRPr="001B319D">
        <w:rPr>
          <w:rStyle w:val="ae"/>
          <w:rFonts w:ascii="Times New Roman" w:hAnsi="Times New Roman" w:cs="Times New Roman"/>
          <w:color w:val="000000" w:themeColor="text1"/>
          <w:vertAlign w:val="superscript"/>
        </w:rPr>
        <w:footnoteRef/>
      </w:r>
      <w:r w:rsidRPr="001B319D">
        <w:rPr>
          <w:rFonts w:ascii="Times New Roman" w:hAnsi="Times New Roman" w:cs="Times New Roman"/>
          <w:color w:val="000000" w:themeColor="text1"/>
        </w:rPr>
        <w:t xml:space="preserve"> </w:t>
      </w:r>
      <w:r w:rsidRPr="001B319D">
        <w:rPr>
          <w:rFonts w:ascii="Times New Roman" w:hAnsi="Times New Roman" w:cs="Times New Roman"/>
          <w:color w:val="000000" w:themeColor="text1"/>
        </w:rPr>
        <w:t>Το άρθρο 95 παρ. 5, μετά την αναθεώρηση του 2001, καλύπτει όλα τα δικαστήρια, αφού η Διοίκηση υποχρεούται να συμμορφώνεται προς τις αποφάσεις τους (και όχι μόνο προς τις ακυρωτικές αποφάσεις του ΣτΕ).</w:t>
      </w:r>
    </w:p>
  </w:footnote>
  <w:footnote w:id="4">
    <w:p w14:paraId="401050AC" w14:textId="6941BD85" w:rsidR="00415EF6" w:rsidRPr="001B319D" w:rsidRDefault="00415EF6" w:rsidP="0096023D">
      <w:pPr>
        <w:pStyle w:val="a9"/>
        <w:spacing w:line="276" w:lineRule="auto"/>
        <w:jc w:val="both"/>
        <w:rPr>
          <w:rFonts w:ascii="Times New Roman" w:hAnsi="Times New Roman" w:cs="Times New Roman"/>
          <w:color w:val="000000" w:themeColor="text1"/>
        </w:rPr>
      </w:pPr>
      <w:r w:rsidRPr="001B319D">
        <w:rPr>
          <w:rStyle w:val="af8"/>
          <w:rFonts w:ascii="Times New Roman" w:hAnsi="Times New Roman" w:cs="Times New Roman"/>
          <w:color w:val="000000" w:themeColor="text1"/>
        </w:rPr>
        <w:footnoteRef/>
      </w:r>
      <w:r w:rsidRPr="001B319D">
        <w:rPr>
          <w:rFonts w:ascii="Times New Roman" w:hAnsi="Times New Roman" w:cs="Times New Roman"/>
          <w:color w:val="000000" w:themeColor="text1"/>
        </w:rPr>
        <w:t xml:space="preserve"> </w:t>
      </w:r>
      <w:r w:rsidRPr="001B319D">
        <w:rPr>
          <w:rFonts w:ascii="Times New Roman" w:hAnsi="Times New Roman" w:cs="Times New Roman"/>
          <w:color w:val="000000" w:themeColor="text1"/>
        </w:rPr>
        <w:t>Ενδεικτικά, ΣτΕ Ολ 799</w:t>
      </w:r>
      <w:r w:rsidR="001020F4" w:rsidRPr="0096023D">
        <w:rPr>
          <w:rFonts w:ascii="Times New Roman" w:hAnsi="Times New Roman" w:cs="Times New Roman"/>
          <w:color w:val="000000" w:themeColor="text1"/>
        </w:rPr>
        <w:t>, 800</w:t>
      </w:r>
      <w:r w:rsidRPr="001B319D">
        <w:rPr>
          <w:rFonts w:ascii="Times New Roman" w:hAnsi="Times New Roman" w:cs="Times New Roman"/>
          <w:color w:val="000000" w:themeColor="text1"/>
        </w:rPr>
        <w:t>/2021</w:t>
      </w:r>
      <w:r w:rsidR="00FB54C0" w:rsidRPr="001B319D">
        <w:rPr>
          <w:rFonts w:ascii="Times New Roman" w:hAnsi="Times New Roman" w:cs="Times New Roman"/>
          <w:color w:val="000000" w:themeColor="text1"/>
        </w:rPr>
        <w:t>, 874, 875-2024</w:t>
      </w:r>
      <w:r w:rsidRPr="001B319D">
        <w:rPr>
          <w:rFonts w:ascii="Times New Roman" w:hAnsi="Times New Roman" w:cs="Times New Roman"/>
          <w:color w:val="000000" w:themeColor="text1"/>
        </w:rPr>
        <w:t>.</w:t>
      </w:r>
    </w:p>
  </w:footnote>
  <w:footnote w:id="5">
    <w:p w14:paraId="4CF3BD96" w14:textId="77777777" w:rsidR="00065D54" w:rsidRPr="00722535" w:rsidRDefault="00065D54" w:rsidP="0096023D">
      <w:pPr>
        <w:pStyle w:val="a9"/>
        <w:spacing w:line="276" w:lineRule="auto"/>
        <w:jc w:val="both"/>
        <w:rPr>
          <w:rFonts w:ascii="Times New Roman" w:hAnsi="Times New Roman" w:cs="Times New Roman"/>
          <w:color w:val="000000" w:themeColor="text1"/>
        </w:rPr>
      </w:pPr>
      <w:r w:rsidRPr="001B319D">
        <w:rPr>
          <w:rStyle w:val="af8"/>
          <w:rFonts w:ascii="Times New Roman" w:hAnsi="Times New Roman" w:cs="Times New Roman"/>
          <w:color w:val="000000" w:themeColor="text1"/>
        </w:rPr>
        <w:footnoteRef/>
      </w:r>
      <w:r w:rsidRPr="001020F4">
        <w:rPr>
          <w:rFonts w:ascii="Times New Roman" w:hAnsi="Times New Roman" w:cs="Times New Roman"/>
          <w:color w:val="000000" w:themeColor="text1"/>
        </w:rPr>
        <w:t xml:space="preserve"> </w:t>
      </w:r>
      <w:r w:rsidR="00FB54C0" w:rsidRPr="001B319D">
        <w:rPr>
          <w:rFonts w:ascii="Times New Roman" w:hAnsi="Times New Roman" w:cs="Times New Roman"/>
          <w:color w:val="000000" w:themeColor="text1"/>
        </w:rPr>
        <w:t>Αντί</w:t>
      </w:r>
      <w:r w:rsidR="00FB54C0" w:rsidRPr="001020F4">
        <w:rPr>
          <w:rFonts w:ascii="Times New Roman" w:hAnsi="Times New Roman" w:cs="Times New Roman"/>
          <w:color w:val="000000" w:themeColor="text1"/>
        </w:rPr>
        <w:t xml:space="preserve"> </w:t>
      </w:r>
      <w:r w:rsidR="00FB54C0" w:rsidRPr="001B319D">
        <w:rPr>
          <w:rFonts w:ascii="Times New Roman" w:hAnsi="Times New Roman" w:cs="Times New Roman"/>
          <w:color w:val="000000" w:themeColor="text1"/>
        </w:rPr>
        <w:t>πολλών</w:t>
      </w:r>
      <w:r w:rsidR="00FB54C0" w:rsidRPr="001020F4">
        <w:rPr>
          <w:rFonts w:ascii="Times New Roman" w:hAnsi="Times New Roman" w:cs="Times New Roman"/>
          <w:color w:val="000000" w:themeColor="text1"/>
        </w:rPr>
        <w:t xml:space="preserve">, </w:t>
      </w:r>
      <w:r w:rsidR="00FB54C0" w:rsidRPr="00722535">
        <w:rPr>
          <w:rFonts w:ascii="Times New Roman" w:hAnsi="Times New Roman" w:cs="Times New Roman"/>
          <w:i/>
          <w:iCs/>
          <w:color w:val="000000" w:themeColor="text1"/>
          <w:lang w:val="fr-FR"/>
        </w:rPr>
        <w:t>B</w:t>
      </w:r>
      <w:r w:rsidR="00FB54C0" w:rsidRPr="001020F4">
        <w:rPr>
          <w:rFonts w:ascii="Times New Roman" w:hAnsi="Times New Roman" w:cs="Times New Roman"/>
          <w:i/>
          <w:iCs/>
          <w:color w:val="000000" w:themeColor="text1"/>
        </w:rPr>
        <w:t xml:space="preserve">. </w:t>
      </w:r>
      <w:r w:rsidR="00FB54C0" w:rsidRPr="00722535">
        <w:rPr>
          <w:rFonts w:ascii="Times New Roman" w:hAnsi="Times New Roman" w:cs="Times New Roman"/>
          <w:i/>
          <w:iCs/>
          <w:color w:val="000000" w:themeColor="text1"/>
          <w:lang w:val="fr-FR"/>
        </w:rPr>
        <w:t>Stirn</w:t>
      </w:r>
      <w:r w:rsidR="00FB54C0" w:rsidRPr="001020F4">
        <w:rPr>
          <w:rFonts w:ascii="Times New Roman" w:hAnsi="Times New Roman" w:cs="Times New Roman"/>
          <w:i/>
          <w:iCs/>
          <w:color w:val="000000" w:themeColor="text1"/>
        </w:rPr>
        <w:t>/</w:t>
      </w:r>
      <w:r w:rsidR="00FB54C0" w:rsidRPr="00722535">
        <w:rPr>
          <w:rFonts w:ascii="Times New Roman" w:hAnsi="Times New Roman" w:cs="Times New Roman"/>
          <w:i/>
          <w:iCs/>
          <w:color w:val="000000" w:themeColor="text1"/>
          <w:lang w:val="fr-FR"/>
        </w:rPr>
        <w:t>Y</w:t>
      </w:r>
      <w:r w:rsidR="00FB54C0" w:rsidRPr="001020F4">
        <w:rPr>
          <w:rFonts w:ascii="Times New Roman" w:hAnsi="Times New Roman" w:cs="Times New Roman"/>
          <w:i/>
          <w:iCs/>
          <w:color w:val="000000" w:themeColor="text1"/>
        </w:rPr>
        <w:t xml:space="preserve">. </w:t>
      </w:r>
      <w:r w:rsidR="00FB54C0" w:rsidRPr="00722535">
        <w:rPr>
          <w:rFonts w:ascii="Times New Roman" w:hAnsi="Times New Roman" w:cs="Times New Roman"/>
          <w:i/>
          <w:iCs/>
          <w:color w:val="000000" w:themeColor="text1"/>
          <w:lang w:val="fr-FR"/>
        </w:rPr>
        <w:t>Aguila</w:t>
      </w:r>
      <w:r w:rsidR="00FB54C0" w:rsidRPr="001020F4">
        <w:rPr>
          <w:rFonts w:ascii="Times New Roman" w:hAnsi="Times New Roman" w:cs="Times New Roman"/>
          <w:color w:val="000000" w:themeColor="text1"/>
        </w:rPr>
        <w:t xml:space="preserve">, </w:t>
      </w:r>
      <w:r w:rsidR="00FB54C0" w:rsidRPr="001B319D">
        <w:rPr>
          <w:rFonts w:ascii="Times New Roman" w:hAnsi="Times New Roman" w:cs="Times New Roman"/>
          <w:color w:val="000000" w:themeColor="text1"/>
          <w:lang w:val="fr-FR"/>
        </w:rPr>
        <w:t>Droit</w:t>
      </w:r>
      <w:r w:rsidR="00FB54C0" w:rsidRPr="001020F4">
        <w:rPr>
          <w:rFonts w:ascii="Times New Roman" w:hAnsi="Times New Roman" w:cs="Times New Roman"/>
          <w:color w:val="000000" w:themeColor="text1"/>
        </w:rPr>
        <w:t xml:space="preserve"> </w:t>
      </w:r>
      <w:r w:rsidR="00FB54C0" w:rsidRPr="001B319D">
        <w:rPr>
          <w:rFonts w:ascii="Times New Roman" w:hAnsi="Times New Roman" w:cs="Times New Roman"/>
          <w:color w:val="000000" w:themeColor="text1"/>
          <w:lang w:val="fr-FR"/>
        </w:rPr>
        <w:t>public</w:t>
      </w:r>
      <w:r w:rsidR="00FB54C0" w:rsidRPr="001020F4">
        <w:rPr>
          <w:rFonts w:ascii="Times New Roman" w:hAnsi="Times New Roman" w:cs="Times New Roman"/>
          <w:color w:val="000000" w:themeColor="text1"/>
        </w:rPr>
        <w:t xml:space="preserve"> </w:t>
      </w:r>
      <w:r w:rsidR="00FB54C0" w:rsidRPr="001B319D">
        <w:rPr>
          <w:rFonts w:ascii="Times New Roman" w:hAnsi="Times New Roman" w:cs="Times New Roman"/>
          <w:color w:val="000000" w:themeColor="text1"/>
          <w:lang w:val="fr-FR"/>
        </w:rPr>
        <w:t>fran</w:t>
      </w:r>
      <w:r w:rsidR="00FB54C0" w:rsidRPr="001020F4">
        <w:rPr>
          <w:rFonts w:ascii="Times New Roman" w:hAnsi="Times New Roman" w:cs="Times New Roman"/>
          <w:color w:val="000000" w:themeColor="text1"/>
        </w:rPr>
        <w:t>ç</w:t>
      </w:r>
      <w:r w:rsidR="00FB54C0" w:rsidRPr="001B319D">
        <w:rPr>
          <w:rFonts w:ascii="Times New Roman" w:hAnsi="Times New Roman" w:cs="Times New Roman"/>
          <w:color w:val="000000" w:themeColor="text1"/>
          <w:lang w:val="fr-FR"/>
        </w:rPr>
        <w:t>ais</w:t>
      </w:r>
      <w:r w:rsidR="00FB54C0" w:rsidRPr="001020F4">
        <w:rPr>
          <w:rFonts w:ascii="Times New Roman" w:hAnsi="Times New Roman" w:cs="Times New Roman"/>
          <w:color w:val="000000" w:themeColor="text1"/>
        </w:rPr>
        <w:t xml:space="preserve"> </w:t>
      </w:r>
      <w:r w:rsidR="00FB54C0" w:rsidRPr="001B319D">
        <w:rPr>
          <w:rFonts w:ascii="Times New Roman" w:hAnsi="Times New Roman" w:cs="Times New Roman"/>
          <w:color w:val="000000" w:themeColor="text1"/>
          <w:lang w:val="fr-FR"/>
        </w:rPr>
        <w:t>et</w:t>
      </w:r>
      <w:r w:rsidR="00FB54C0" w:rsidRPr="001020F4">
        <w:rPr>
          <w:rFonts w:ascii="Times New Roman" w:hAnsi="Times New Roman" w:cs="Times New Roman"/>
          <w:color w:val="000000" w:themeColor="text1"/>
        </w:rPr>
        <w:t xml:space="preserve"> </w:t>
      </w:r>
      <w:r w:rsidR="00FB54C0" w:rsidRPr="001B319D">
        <w:rPr>
          <w:rFonts w:ascii="Times New Roman" w:hAnsi="Times New Roman" w:cs="Times New Roman"/>
          <w:color w:val="000000" w:themeColor="text1"/>
          <w:lang w:val="fr-FR"/>
        </w:rPr>
        <w:t>europ</w:t>
      </w:r>
      <w:r w:rsidR="00FB54C0" w:rsidRPr="001020F4">
        <w:rPr>
          <w:rFonts w:ascii="Times New Roman" w:hAnsi="Times New Roman" w:cs="Times New Roman"/>
          <w:color w:val="000000" w:themeColor="text1"/>
        </w:rPr>
        <w:t>é</w:t>
      </w:r>
      <w:r w:rsidR="00FB54C0" w:rsidRPr="001B319D">
        <w:rPr>
          <w:rFonts w:ascii="Times New Roman" w:hAnsi="Times New Roman" w:cs="Times New Roman"/>
          <w:color w:val="000000" w:themeColor="text1"/>
          <w:lang w:val="fr-FR"/>
        </w:rPr>
        <w:t>en</w:t>
      </w:r>
      <w:r w:rsidR="00FB54C0" w:rsidRPr="001020F4">
        <w:rPr>
          <w:rFonts w:ascii="Times New Roman" w:hAnsi="Times New Roman" w:cs="Times New Roman"/>
          <w:color w:val="000000" w:themeColor="text1"/>
        </w:rPr>
        <w:t xml:space="preserve">, </w:t>
      </w:r>
      <w:r w:rsidR="00FB54C0" w:rsidRPr="001B319D">
        <w:rPr>
          <w:rFonts w:ascii="Times New Roman" w:hAnsi="Times New Roman" w:cs="Times New Roman"/>
          <w:color w:val="000000" w:themeColor="text1"/>
          <w:lang w:val="fr-FR"/>
        </w:rPr>
        <w:t>Dalloz</w:t>
      </w:r>
      <w:r w:rsidR="00FB54C0" w:rsidRPr="001020F4">
        <w:rPr>
          <w:rFonts w:ascii="Times New Roman" w:hAnsi="Times New Roman" w:cs="Times New Roman"/>
          <w:color w:val="000000" w:themeColor="text1"/>
        </w:rPr>
        <w:t xml:space="preserve">, 2014, </w:t>
      </w:r>
      <w:r w:rsidR="00FB54C0" w:rsidRPr="001B319D">
        <w:rPr>
          <w:rFonts w:ascii="Times New Roman" w:hAnsi="Times New Roman" w:cs="Times New Roman"/>
          <w:color w:val="000000" w:themeColor="text1"/>
        </w:rPr>
        <w:t>σ</w:t>
      </w:r>
      <w:r w:rsidR="00FB54C0" w:rsidRPr="001020F4">
        <w:rPr>
          <w:rFonts w:ascii="Times New Roman" w:hAnsi="Times New Roman" w:cs="Times New Roman"/>
          <w:color w:val="000000" w:themeColor="text1"/>
        </w:rPr>
        <w:t xml:space="preserve">. 521 </w:t>
      </w:r>
      <w:r w:rsidR="00FB54C0" w:rsidRPr="001B319D">
        <w:rPr>
          <w:rFonts w:ascii="Times New Roman" w:hAnsi="Times New Roman" w:cs="Times New Roman"/>
          <w:color w:val="000000" w:themeColor="text1"/>
        </w:rPr>
        <w:t>επ</w:t>
      </w:r>
      <w:r w:rsidR="00FB54C0" w:rsidRPr="001020F4">
        <w:rPr>
          <w:rFonts w:ascii="Times New Roman" w:hAnsi="Times New Roman" w:cs="Times New Roman"/>
          <w:color w:val="000000" w:themeColor="text1"/>
        </w:rPr>
        <w:t xml:space="preserve">. </w:t>
      </w:r>
      <w:r w:rsidR="00FB54C0" w:rsidRPr="001B319D">
        <w:rPr>
          <w:rFonts w:ascii="Times New Roman" w:hAnsi="Times New Roman" w:cs="Times New Roman"/>
          <w:color w:val="000000" w:themeColor="text1"/>
        </w:rPr>
        <w:t xml:space="preserve">Για την κατά καιρούς αναζωπύρωση της συζήτησης στη Γαλλία, βλ. </w:t>
      </w:r>
      <w:hyperlink r:id="rId1" w:history="1">
        <w:r w:rsidR="00FB54C0" w:rsidRPr="001B319D">
          <w:rPr>
            <w:rStyle w:val="-"/>
            <w:rFonts w:ascii="Times New Roman" w:hAnsi="Times New Roman" w:cs="Times New Roman"/>
            <w:color w:val="000000" w:themeColor="text1"/>
            <w:lang w:val="en-US"/>
          </w:rPr>
          <w:t>www</w:t>
        </w:r>
        <w:r w:rsidR="00FB54C0" w:rsidRPr="001B319D">
          <w:rPr>
            <w:rStyle w:val="-"/>
            <w:rFonts w:ascii="Times New Roman" w:hAnsi="Times New Roman" w:cs="Times New Roman"/>
            <w:color w:val="000000" w:themeColor="text1"/>
          </w:rPr>
          <w:t>.</w:t>
        </w:r>
        <w:r w:rsidR="00FB54C0" w:rsidRPr="001B319D">
          <w:rPr>
            <w:rStyle w:val="-"/>
            <w:rFonts w:ascii="Times New Roman" w:hAnsi="Times New Roman" w:cs="Times New Roman"/>
            <w:color w:val="000000" w:themeColor="text1"/>
            <w:lang w:val="en-US"/>
          </w:rPr>
          <w:t>prevedourou</w:t>
        </w:r>
        <w:r w:rsidR="00FB54C0" w:rsidRPr="001B319D">
          <w:rPr>
            <w:rStyle w:val="-"/>
            <w:rFonts w:ascii="Times New Roman" w:hAnsi="Times New Roman" w:cs="Times New Roman"/>
            <w:color w:val="000000" w:themeColor="text1"/>
          </w:rPr>
          <w:t>.</w:t>
        </w:r>
        <w:r w:rsidR="00FB54C0" w:rsidRPr="001B319D">
          <w:rPr>
            <w:rStyle w:val="-"/>
            <w:rFonts w:ascii="Times New Roman" w:hAnsi="Times New Roman" w:cs="Times New Roman"/>
            <w:color w:val="000000" w:themeColor="text1"/>
            <w:lang w:val="en-US"/>
          </w:rPr>
          <w:t>gr</w:t>
        </w:r>
      </w:hyperlink>
      <w:r w:rsidR="00FB54C0" w:rsidRPr="001B319D">
        <w:rPr>
          <w:rFonts w:ascii="Times New Roman" w:hAnsi="Times New Roman" w:cs="Times New Roman"/>
          <w:color w:val="000000" w:themeColor="text1"/>
        </w:rPr>
        <w:t xml:space="preserve">, </w:t>
      </w:r>
      <w:r w:rsidR="00FB54C0" w:rsidRPr="001B319D">
        <w:rPr>
          <w:rStyle w:val="ad"/>
          <w:rFonts w:ascii="Times New Roman" w:hAnsi="Times New Roman" w:cs="Times New Roman"/>
          <w:b w:val="0"/>
          <w:bCs w:val="0"/>
          <w:color w:val="000000" w:themeColor="text1"/>
        </w:rPr>
        <w:t>Plaidoyer» για τη διατήρηση του δυϊσμού της δικαιοσύνης, από τον Αντιπρόεδρο του Conseil d’Etat,</w:t>
      </w:r>
      <w:r w:rsidR="00FB54C0" w:rsidRPr="001B319D">
        <w:rPr>
          <w:rStyle w:val="apple-converted-space"/>
          <w:rFonts w:ascii="Times New Roman" w:hAnsi="Times New Roman" w:cs="Times New Roman"/>
          <w:b/>
          <w:bCs/>
          <w:color w:val="000000" w:themeColor="text1"/>
        </w:rPr>
        <w:t> </w:t>
      </w:r>
      <w:r w:rsidR="00FB54C0" w:rsidRPr="001B319D">
        <w:rPr>
          <w:rStyle w:val="ac"/>
          <w:rFonts w:ascii="Times New Roman" w:hAnsi="Times New Roman" w:cs="Times New Roman"/>
          <w:color w:val="000000" w:themeColor="text1"/>
        </w:rPr>
        <w:t>J.-M. Sauvé</w:t>
      </w:r>
      <w:r w:rsidR="001B319D" w:rsidRPr="001B319D">
        <w:rPr>
          <w:rStyle w:val="ac"/>
          <w:rFonts w:ascii="Times New Roman" w:hAnsi="Times New Roman" w:cs="Times New Roman"/>
          <w:b/>
          <w:bCs/>
          <w:color w:val="000000" w:themeColor="text1"/>
        </w:rPr>
        <w:t xml:space="preserve"> </w:t>
      </w:r>
      <w:r w:rsidR="001B319D" w:rsidRPr="001B319D">
        <w:rPr>
          <w:rStyle w:val="ac"/>
          <w:rFonts w:ascii="Times New Roman" w:hAnsi="Times New Roman" w:cs="Times New Roman"/>
          <w:i w:val="0"/>
          <w:iCs w:val="0"/>
          <w:color w:val="000000" w:themeColor="text1"/>
        </w:rPr>
        <w:t>(τελευταία πρόσβαση 1.3.2025)</w:t>
      </w:r>
      <w:r w:rsidR="001B319D">
        <w:rPr>
          <w:rStyle w:val="ac"/>
          <w:rFonts w:ascii="Times New Roman" w:hAnsi="Times New Roman" w:cs="Times New Roman"/>
          <w:i w:val="0"/>
          <w:iCs w:val="0"/>
          <w:color w:val="000000" w:themeColor="text1"/>
        </w:rPr>
        <w:t>.</w:t>
      </w:r>
    </w:p>
  </w:footnote>
  <w:footnote w:id="6">
    <w:p w14:paraId="3DBCFAEF" w14:textId="77777777" w:rsidR="007B14F2" w:rsidRPr="00065D54" w:rsidRDefault="007B14F2" w:rsidP="0096023D">
      <w:pPr>
        <w:pStyle w:val="a9"/>
        <w:spacing w:line="276" w:lineRule="auto"/>
        <w:jc w:val="both"/>
        <w:rPr>
          <w:rFonts w:ascii="Times New Roman" w:hAnsi="Times New Roman" w:cs="Times New Roman"/>
          <w:color w:val="000000" w:themeColor="text1"/>
        </w:rPr>
      </w:pPr>
      <w:r w:rsidRPr="00065D54">
        <w:rPr>
          <w:rStyle w:val="af8"/>
          <w:rFonts w:ascii="Times New Roman" w:hAnsi="Times New Roman" w:cs="Times New Roman"/>
          <w:color w:val="000000" w:themeColor="text1"/>
        </w:rPr>
        <w:footnoteRef/>
      </w:r>
      <w:r w:rsidRPr="00065D54">
        <w:rPr>
          <w:rFonts w:ascii="Times New Roman" w:hAnsi="Times New Roman" w:cs="Times New Roman"/>
          <w:color w:val="000000" w:themeColor="text1"/>
        </w:rPr>
        <w:t xml:space="preserve"> </w:t>
      </w:r>
      <w:r w:rsidRPr="00065D54">
        <w:rPr>
          <w:rFonts w:ascii="Times New Roman" w:hAnsi="Times New Roman" w:cs="Times New Roman"/>
          <w:i/>
          <w:iCs/>
          <w:color w:val="000000" w:themeColor="text1"/>
        </w:rPr>
        <w:t>Ε. Βενιζέλος</w:t>
      </w:r>
      <w:r w:rsidRPr="00065D54">
        <w:rPr>
          <w:rFonts w:ascii="Times New Roman" w:hAnsi="Times New Roman" w:cs="Times New Roman"/>
          <w:color w:val="000000" w:themeColor="text1"/>
        </w:rPr>
        <w:t>, Η αναθεώρηση του 2001 είκοσι χρονια και δύο αναθεωρήσεις (2008 και 2019) μετά – Μια εισαγωγή στη συζήτηση, ΕφημΔΔ 6/2021, σ. 706.</w:t>
      </w:r>
    </w:p>
  </w:footnote>
  <w:footnote w:id="7">
    <w:p w14:paraId="15F37BB1" w14:textId="77777777" w:rsidR="007D3E36" w:rsidRPr="00065D54" w:rsidRDefault="007D3E36" w:rsidP="0096023D">
      <w:pPr>
        <w:pStyle w:val="a9"/>
        <w:spacing w:line="276" w:lineRule="auto"/>
        <w:jc w:val="both"/>
        <w:rPr>
          <w:rFonts w:ascii="Times New Roman" w:hAnsi="Times New Roman" w:cs="Times New Roman"/>
          <w:color w:val="000000" w:themeColor="text1"/>
        </w:rPr>
      </w:pPr>
      <w:r w:rsidRPr="00065D54">
        <w:rPr>
          <w:rStyle w:val="af8"/>
          <w:rFonts w:ascii="Times New Roman" w:hAnsi="Times New Roman" w:cs="Times New Roman"/>
          <w:color w:val="000000" w:themeColor="text1"/>
        </w:rPr>
        <w:footnoteRef/>
      </w:r>
      <w:r w:rsidRPr="00065D54">
        <w:rPr>
          <w:rFonts w:ascii="Times New Roman" w:hAnsi="Times New Roman" w:cs="Times New Roman"/>
          <w:color w:val="000000" w:themeColor="text1"/>
        </w:rPr>
        <w:t xml:space="preserve"> </w:t>
      </w:r>
      <w:r w:rsidRPr="00065D54">
        <w:rPr>
          <w:rFonts w:ascii="Times New Roman" w:hAnsi="Times New Roman" w:cs="Times New Roman"/>
          <w:color w:val="000000" w:themeColor="text1"/>
        </w:rPr>
        <w:t>ΣτΕ 2172, 3, 4/2024.</w:t>
      </w:r>
      <w:r w:rsidR="00065D54" w:rsidRPr="00065D54">
        <w:rPr>
          <w:rFonts w:ascii="Times New Roman" w:hAnsi="Times New Roman" w:cs="Times New Roman"/>
          <w:color w:val="000000" w:themeColor="text1"/>
        </w:rPr>
        <w:t xml:space="preserve"> Ιδιαίτερο ενδιαφέρον παρουσιάζουν οι παραπεμπτικές ΣτΕ 2127-9/2023, όπου εκτίθενται οι περισσότερες απόψεις των μελών του 5μελούς σχηματισμού, οι οποίες αποδίδουν τις νομολογιακές διακυμάνσεις.</w:t>
      </w:r>
    </w:p>
  </w:footnote>
  <w:footnote w:id="8">
    <w:p w14:paraId="38DCF91D" w14:textId="5967AC9D" w:rsidR="002B3E78" w:rsidRPr="0036465A" w:rsidRDefault="00764E05" w:rsidP="0096023D">
      <w:pPr>
        <w:pStyle w:val="a9"/>
        <w:spacing w:line="276" w:lineRule="auto"/>
        <w:jc w:val="both"/>
        <w:rPr>
          <w:rFonts w:ascii="Times New Roman" w:hAnsi="Times New Roman" w:cs="Times New Roman"/>
        </w:rPr>
      </w:pPr>
      <w:r w:rsidRPr="00065D54">
        <w:rPr>
          <w:rStyle w:val="ae"/>
          <w:rFonts w:ascii="Times New Roman" w:hAnsi="Times New Roman" w:cs="Times New Roman"/>
          <w:color w:val="000000" w:themeColor="text1"/>
          <w:vertAlign w:val="superscript"/>
        </w:rPr>
        <w:footnoteRef/>
      </w:r>
      <w:r w:rsidRPr="00065D54">
        <w:rPr>
          <w:rFonts w:ascii="Times New Roman" w:hAnsi="Times New Roman" w:cs="Times New Roman"/>
          <w:color w:val="000000" w:themeColor="text1"/>
        </w:rPr>
        <w:t xml:space="preserve"> </w:t>
      </w:r>
      <w:r w:rsidRPr="00065D54">
        <w:rPr>
          <w:rFonts w:ascii="Times New Roman" w:hAnsi="Times New Roman" w:cs="Times New Roman"/>
          <w:color w:val="000000" w:themeColor="text1"/>
          <w:shd w:val="clear" w:color="auto" w:fill="FFFFFF"/>
        </w:rPr>
        <w:t>Οι διαφορές που προκύπτουν από την αμφισβήτηση</w:t>
      </w:r>
      <w:r w:rsidRPr="00065D54">
        <w:rPr>
          <w:rStyle w:val="apple-converted-space"/>
          <w:rFonts w:ascii="Times New Roman" w:hAnsi="Times New Roman" w:cs="Times New Roman"/>
          <w:color w:val="000000" w:themeColor="text1"/>
          <w:shd w:val="clear" w:color="auto" w:fill="FFFFFF"/>
        </w:rPr>
        <w:t> </w:t>
      </w:r>
      <w:r w:rsidRPr="00065D54">
        <w:rPr>
          <w:rFonts w:ascii="Times New Roman" w:hAnsi="Times New Roman" w:cs="Times New Roman"/>
          <w:color w:val="000000" w:themeColor="text1"/>
        </w:rPr>
        <w:t xml:space="preserve">πράξεων που εκδίδονται από όργανα του Δημοσίου ή των ΝΠΔΔ </w:t>
      </w:r>
      <w:r w:rsidRPr="007D3E36">
        <w:rPr>
          <w:rFonts w:ascii="Times New Roman" w:hAnsi="Times New Roman" w:cs="Times New Roman"/>
          <w:color w:val="000000" w:themeColor="text1"/>
        </w:rPr>
        <w:t>κατ’ ενάσκηση δημόσιας εξουσίας, με αντικείμενο τη μονομερή ρύθμιση ζητημάτων που αναφύονται είτε κατά την πρόσληψη είτε περί την υπηρεσιακή κατάσταση του προσωπικού με σχέση ιδιωτικού δικαίου</w:t>
      </w:r>
      <w:r w:rsidRPr="0036465A">
        <w:rPr>
          <w:rFonts w:ascii="Times New Roman" w:hAnsi="Times New Roman" w:cs="Times New Roman"/>
          <w:color w:val="000000" w:themeColor="text1"/>
        </w:rPr>
        <w:t xml:space="preserve"> και με σκοπό την εξυπηρέτηση του δημοσίου συμφέροντος, το οποίο συνίσταται στην ομαλή λειτουργία της δημόσιας υπηρεσίας</w:t>
      </w:r>
      <w:r w:rsidRPr="0036465A">
        <w:rPr>
          <w:rFonts w:ascii="Times New Roman" w:hAnsi="Times New Roman" w:cs="Times New Roman"/>
          <w:color w:val="000000" w:themeColor="text1"/>
          <w:shd w:val="clear" w:color="auto" w:fill="FFFFFF"/>
        </w:rPr>
        <w:t>, ανήκουν στη δικαιοδοσία των διοικητικών εφετείων, ακόμη και αν δεν είναι το αποτέλεσμα ειδικής διοικητικής διαδικασίας</w:t>
      </w:r>
      <w:r w:rsidR="00006434" w:rsidRPr="0036465A">
        <w:rPr>
          <w:rFonts w:ascii="Times New Roman" w:hAnsi="Times New Roman" w:cs="Times New Roman"/>
          <w:color w:val="000000" w:themeColor="text1"/>
          <w:shd w:val="clear" w:color="auto" w:fill="FFFFFF"/>
        </w:rPr>
        <w:t>, κριτήριο το οποίο αφορά, κατά τη μάλλον σαφή έννοια του νόμου, μόνο διαφορές που αναφύονται από την πρόσληψη και την υπηρεσιακή κατάσταση προσωπικού ιδιωτικού δικαίου που απασχολείται στα ΝΠΙΔ του δημόσιου τομέα</w:t>
      </w:r>
      <w:r w:rsidRPr="0036465A">
        <w:rPr>
          <w:rFonts w:ascii="Times New Roman" w:hAnsi="Times New Roman" w:cs="Times New Roman"/>
          <w:color w:val="000000" w:themeColor="text1"/>
          <w:shd w:val="clear" w:color="auto" w:fill="FFFFFF"/>
        </w:rPr>
        <w:t>.</w:t>
      </w:r>
      <w:r w:rsidR="007B14F2" w:rsidRPr="0036465A">
        <w:rPr>
          <w:rFonts w:ascii="Times New Roman" w:hAnsi="Times New Roman" w:cs="Times New Roman"/>
          <w:color w:val="000000" w:themeColor="text1"/>
          <w:shd w:val="clear" w:color="auto" w:fill="FFFFFF"/>
        </w:rPr>
        <w:t xml:space="preserve"> Θα μπορούσε, στο πλαίσιο κακόπιστης κριτικής</w:t>
      </w:r>
      <w:r w:rsidR="00A545BD" w:rsidRPr="0036465A">
        <w:rPr>
          <w:rFonts w:ascii="Times New Roman" w:hAnsi="Times New Roman" w:cs="Times New Roman"/>
          <w:color w:val="000000" w:themeColor="text1"/>
          <w:shd w:val="clear" w:color="auto" w:fill="FFFFFF"/>
        </w:rPr>
        <w:t xml:space="preserve"> που ασκούν κάποιοι επικριτές του Δικαστηρίου</w:t>
      </w:r>
      <w:r w:rsidR="007B14F2" w:rsidRPr="0036465A">
        <w:rPr>
          <w:rFonts w:ascii="Times New Roman" w:hAnsi="Times New Roman" w:cs="Times New Roman"/>
          <w:color w:val="000000" w:themeColor="text1"/>
          <w:shd w:val="clear" w:color="auto" w:fill="FFFFFF"/>
        </w:rPr>
        <w:t xml:space="preserve">, να υποστηριχθεί ότι </w:t>
      </w:r>
      <w:r w:rsidR="007B14F2" w:rsidRPr="0036465A">
        <w:rPr>
          <w:rFonts w:ascii="Times New Roman" w:hAnsi="Times New Roman" w:cs="Times New Roman"/>
          <w:i/>
          <w:iCs/>
          <w:color w:val="000000" w:themeColor="text1"/>
          <w:shd w:val="clear" w:color="auto" w:fill="FFFFFF"/>
        </w:rPr>
        <w:t>«τ</w:t>
      </w:r>
      <w:r w:rsidR="007B14F2" w:rsidRPr="0036465A">
        <w:rPr>
          <w:rFonts w:ascii="Times New Roman" w:hAnsi="Times New Roman" w:cs="Times New Roman"/>
          <w:i/>
          <w:iCs/>
          <w:color w:val="000000"/>
          <w:kern w:val="0"/>
        </w:rPr>
        <w:t>ο ΣτΕ τα ξεμπέρδεψε λίγο άτσαλα, με μία «σκηνοθετική ευκολία» οργανικού κριτηρίου, το οποίο, όμως, καταλήγει να διακρίνει κατηγορίες υπαλλήλων που τελούν σε απολύτως όμοιες συνθήκες μεταξύ τους</w:t>
      </w:r>
      <w:r w:rsidR="007B14F2" w:rsidRPr="0036465A">
        <w:rPr>
          <w:rFonts w:ascii="Times New Roman" w:hAnsi="Times New Roman" w:cs="Times New Roman"/>
          <w:color w:val="000000"/>
          <w:kern w:val="0"/>
        </w:rPr>
        <w:t>»</w:t>
      </w:r>
      <w:r w:rsidR="00A545BD" w:rsidRPr="0036465A">
        <w:rPr>
          <w:rFonts w:ascii="Times New Roman" w:hAnsi="Times New Roman" w:cs="Times New Roman"/>
          <w:color w:val="000000"/>
          <w:kern w:val="0"/>
        </w:rPr>
        <w:t xml:space="preserve"> (δηλαδή υπάλληλοι ΝΠΙΔ του ευρύτερου δημόσιου τομέα και </w:t>
      </w:r>
      <w:r w:rsidR="00065D54">
        <w:rPr>
          <w:rFonts w:ascii="Times New Roman" w:hAnsi="Times New Roman" w:cs="Times New Roman"/>
          <w:color w:val="000000"/>
          <w:kern w:val="0"/>
        </w:rPr>
        <w:t xml:space="preserve">υπάλληλοι </w:t>
      </w:r>
      <w:r w:rsidR="00A545BD" w:rsidRPr="0036465A">
        <w:rPr>
          <w:rFonts w:ascii="Times New Roman" w:hAnsi="Times New Roman" w:cs="Times New Roman"/>
          <w:color w:val="000000"/>
          <w:kern w:val="0"/>
        </w:rPr>
        <w:t>ΙΔΑΧ των ΝΠΔΔ)</w:t>
      </w:r>
      <w:r w:rsidR="007B14F2" w:rsidRPr="0036465A">
        <w:rPr>
          <w:rFonts w:ascii="Times New Roman" w:hAnsi="Times New Roman" w:cs="Times New Roman"/>
          <w:color w:val="000000"/>
          <w:kern w:val="0"/>
        </w:rPr>
        <w:t>.</w:t>
      </w:r>
    </w:p>
  </w:footnote>
  <w:footnote w:id="9">
    <w:p w14:paraId="104D8FC6" w14:textId="125908D9" w:rsidR="00596E61" w:rsidRPr="00F077BF" w:rsidRDefault="00596E61" w:rsidP="0096023D">
      <w:pPr>
        <w:pStyle w:val="a9"/>
        <w:spacing w:line="276" w:lineRule="auto"/>
        <w:jc w:val="both"/>
        <w:rPr>
          <w:rFonts w:ascii="Times New Roman" w:hAnsi="Times New Roman" w:cs="Times New Roman"/>
        </w:rPr>
      </w:pPr>
      <w:r w:rsidRPr="00722535">
        <w:rPr>
          <w:rStyle w:val="af8"/>
          <w:rFonts w:ascii="Times New Roman" w:hAnsi="Times New Roman" w:cs="Times New Roman"/>
        </w:rPr>
        <w:footnoteRef/>
      </w:r>
      <w:r w:rsidRPr="00722535">
        <w:rPr>
          <w:rFonts w:ascii="Times New Roman" w:hAnsi="Times New Roman" w:cs="Times New Roman"/>
        </w:rPr>
        <w:t xml:space="preserve"> </w:t>
      </w:r>
      <w:r w:rsidR="002C6EB2">
        <w:rPr>
          <w:rFonts w:ascii="Times New Roman" w:hAnsi="Times New Roman" w:cs="Times New Roman"/>
        </w:rPr>
        <w:t xml:space="preserve">Βλ. διεξοδικά για τα άρθρα </w:t>
      </w:r>
      <w:r w:rsidR="001954F1">
        <w:rPr>
          <w:rFonts w:ascii="Times New Roman" w:hAnsi="Times New Roman" w:cs="Times New Roman"/>
        </w:rPr>
        <w:t xml:space="preserve">94 και 95 Σ, </w:t>
      </w:r>
      <w:r w:rsidRPr="001954F1">
        <w:rPr>
          <w:rFonts w:ascii="Times New Roman" w:hAnsi="Times New Roman" w:cs="Times New Roman"/>
          <w:i/>
          <w:iCs/>
        </w:rPr>
        <w:t>Νικολάκης/Πρεβεδούρου</w:t>
      </w:r>
      <w:r w:rsidR="001954F1">
        <w:rPr>
          <w:rFonts w:ascii="Times New Roman" w:hAnsi="Times New Roman" w:cs="Times New Roman"/>
        </w:rPr>
        <w:t xml:space="preserve">, εις το έργο </w:t>
      </w:r>
      <w:r w:rsidR="001954F1" w:rsidRPr="001954F1">
        <w:rPr>
          <w:rFonts w:ascii="Times New Roman" w:hAnsi="Times New Roman" w:cs="Times New Roman"/>
          <w:i/>
          <w:iCs/>
        </w:rPr>
        <w:t>Σπυρόπουλος/Κοντιάδης/Ανθόπουλος/Γεραπετρίτης (επιμ.</w:t>
      </w:r>
      <w:r w:rsidR="001954F1">
        <w:rPr>
          <w:rFonts w:ascii="Times New Roman" w:hAnsi="Times New Roman" w:cs="Times New Roman"/>
        </w:rPr>
        <w:t>), Ερμηνεία Συντάγματος, Σάκκουλας, 2017, σ. 1419 επ.</w:t>
      </w:r>
      <w:r w:rsidR="00F077BF">
        <w:rPr>
          <w:rFonts w:ascii="Times New Roman" w:hAnsi="Times New Roman" w:cs="Times New Roman"/>
        </w:rPr>
        <w:t xml:space="preserve"> Επίσης, για το άρθρο 94 Σ, </w:t>
      </w:r>
      <w:r w:rsidR="00F077BF" w:rsidRPr="00F077BF">
        <w:rPr>
          <w:rFonts w:ascii="Times New Roman" w:hAnsi="Times New Roman" w:cs="Times New Roman"/>
          <w:i/>
          <w:iCs/>
        </w:rPr>
        <w:t>Κ. Ηλιάδου</w:t>
      </w:r>
      <w:r w:rsidR="00F077BF">
        <w:rPr>
          <w:rFonts w:ascii="Times New Roman" w:hAnsi="Times New Roman" w:cs="Times New Roman"/>
        </w:rPr>
        <w:t xml:space="preserve">, εις το έργο </w:t>
      </w:r>
      <w:r w:rsidR="00F077BF" w:rsidRPr="00F077BF">
        <w:rPr>
          <w:rFonts w:ascii="Times New Roman" w:hAnsi="Times New Roman" w:cs="Times New Roman"/>
          <w:i/>
          <w:iCs/>
        </w:rPr>
        <w:t>Βλαχόπουλος/Κοντιάδης/Τασσόπουλος (επιμ.),</w:t>
      </w:r>
      <w:r w:rsidR="00F077BF">
        <w:rPr>
          <w:rFonts w:ascii="Times New Roman" w:hAnsi="Times New Roman" w:cs="Times New Roman"/>
        </w:rPr>
        <w:t xml:space="preserve"> Το Σύνταγμα. Κατ’ άρθρο ερμηνεία, </w:t>
      </w:r>
      <w:r w:rsidR="00F077BF">
        <w:rPr>
          <w:rFonts w:ascii="Times New Roman" w:hAnsi="Times New Roman" w:cs="Times New Roman"/>
          <w:lang w:val="en-US"/>
        </w:rPr>
        <w:t>Syntagma</w:t>
      </w:r>
      <w:r w:rsidR="00F077BF" w:rsidRPr="00F077BF">
        <w:rPr>
          <w:rFonts w:ascii="Times New Roman" w:hAnsi="Times New Roman" w:cs="Times New Roman"/>
        </w:rPr>
        <w:t xml:space="preserve"> </w:t>
      </w:r>
      <w:r w:rsidR="00F077BF">
        <w:rPr>
          <w:rFonts w:ascii="Times New Roman" w:hAnsi="Times New Roman" w:cs="Times New Roman"/>
          <w:lang w:val="en-US"/>
        </w:rPr>
        <w:t>Watch</w:t>
      </w:r>
      <w:r w:rsidR="00F077BF" w:rsidRPr="00F077BF">
        <w:rPr>
          <w:rFonts w:ascii="Times New Roman" w:hAnsi="Times New Roman" w:cs="Times New Roman"/>
        </w:rPr>
        <w:t xml:space="preserve"> (</w:t>
      </w:r>
      <w:r w:rsidR="00F077BF">
        <w:rPr>
          <w:rFonts w:ascii="Times New Roman" w:hAnsi="Times New Roman" w:cs="Times New Roman"/>
        </w:rPr>
        <w:t xml:space="preserve">τελευταία πρόσβαση 1.3.2025), και για το άρθρο 95 Σ, </w:t>
      </w:r>
      <w:r w:rsidR="00F077BF" w:rsidRPr="00F077BF">
        <w:rPr>
          <w:rFonts w:ascii="Times New Roman" w:hAnsi="Times New Roman" w:cs="Times New Roman"/>
          <w:i/>
          <w:iCs/>
        </w:rPr>
        <w:t>Στ. Κτιστάκη</w:t>
      </w:r>
      <w:r w:rsidR="00F077BF">
        <w:rPr>
          <w:rFonts w:ascii="Times New Roman" w:hAnsi="Times New Roman" w:cs="Times New Roman"/>
          <w:i/>
          <w:iCs/>
        </w:rPr>
        <w:t>,</w:t>
      </w:r>
      <w:r w:rsidR="00F077BF" w:rsidRPr="00F077BF">
        <w:rPr>
          <w:rFonts w:ascii="Times New Roman" w:hAnsi="Times New Roman" w:cs="Times New Roman"/>
        </w:rPr>
        <w:t xml:space="preserve"> </w:t>
      </w:r>
      <w:r w:rsidR="00F077BF">
        <w:rPr>
          <w:rFonts w:ascii="Times New Roman" w:hAnsi="Times New Roman" w:cs="Times New Roman"/>
        </w:rPr>
        <w:t xml:space="preserve">εις το έργο </w:t>
      </w:r>
      <w:r w:rsidR="00F077BF" w:rsidRPr="00F077BF">
        <w:rPr>
          <w:rFonts w:ascii="Times New Roman" w:hAnsi="Times New Roman" w:cs="Times New Roman"/>
          <w:i/>
          <w:iCs/>
        </w:rPr>
        <w:t>Βλαχόπουλος/Κοντιάδης/Τασσόπουλος (επιμ.),</w:t>
      </w:r>
      <w:r w:rsidR="00F077BF">
        <w:rPr>
          <w:rFonts w:ascii="Times New Roman" w:hAnsi="Times New Roman" w:cs="Times New Roman"/>
        </w:rPr>
        <w:t xml:space="preserve"> Το Σύνταγμα. Κατ’ άρθρο ερμηνεία, </w:t>
      </w:r>
      <w:r w:rsidR="00F077BF">
        <w:rPr>
          <w:rFonts w:ascii="Times New Roman" w:hAnsi="Times New Roman" w:cs="Times New Roman"/>
          <w:lang w:val="en-US"/>
        </w:rPr>
        <w:t>Syntagma</w:t>
      </w:r>
      <w:r w:rsidR="00F077BF" w:rsidRPr="00F077BF">
        <w:rPr>
          <w:rFonts w:ascii="Times New Roman" w:hAnsi="Times New Roman" w:cs="Times New Roman"/>
        </w:rPr>
        <w:t xml:space="preserve"> </w:t>
      </w:r>
      <w:r w:rsidR="00F077BF">
        <w:rPr>
          <w:rFonts w:ascii="Times New Roman" w:hAnsi="Times New Roman" w:cs="Times New Roman"/>
          <w:lang w:val="en-US"/>
        </w:rPr>
        <w:t>Watch</w:t>
      </w:r>
      <w:r w:rsidR="00F077BF" w:rsidRPr="00F077BF">
        <w:rPr>
          <w:rFonts w:ascii="Times New Roman" w:hAnsi="Times New Roman" w:cs="Times New Roman"/>
        </w:rPr>
        <w:t xml:space="preserve"> (</w:t>
      </w:r>
      <w:r w:rsidR="00F077BF">
        <w:rPr>
          <w:rFonts w:ascii="Times New Roman" w:hAnsi="Times New Roman" w:cs="Times New Roman"/>
        </w:rPr>
        <w:t>τελευταία πρόσβαση 1.3.2025).</w:t>
      </w:r>
    </w:p>
  </w:footnote>
  <w:footnote w:id="10">
    <w:p w14:paraId="0A91684A" w14:textId="29EE6D78" w:rsidR="00A545BD" w:rsidRPr="0036465A" w:rsidRDefault="00A545BD" w:rsidP="0036465A">
      <w:pPr>
        <w:pStyle w:val="a9"/>
        <w:jc w:val="both"/>
        <w:rPr>
          <w:rFonts w:ascii="Times New Roman" w:hAnsi="Times New Roman" w:cs="Times New Roman"/>
        </w:rPr>
      </w:pPr>
      <w:r w:rsidRPr="0036465A">
        <w:rPr>
          <w:rStyle w:val="af8"/>
          <w:rFonts w:ascii="Times New Roman" w:hAnsi="Times New Roman" w:cs="Times New Roman"/>
          <w:color w:val="000000" w:themeColor="text1"/>
        </w:rPr>
        <w:footnoteRef/>
      </w:r>
      <w:r w:rsidR="0036465A">
        <w:rPr>
          <w:rFonts w:ascii="Times New Roman" w:hAnsi="Times New Roman" w:cs="Times New Roman"/>
        </w:rPr>
        <w:t xml:space="preserve"> </w:t>
      </w:r>
      <w:r w:rsidRPr="0036465A">
        <w:rPr>
          <w:rFonts w:ascii="Times New Roman" w:hAnsi="Times New Roman" w:cs="Times New Roman"/>
        </w:rPr>
        <w:t xml:space="preserve">Έτσι </w:t>
      </w:r>
      <w:r w:rsidRPr="0036465A">
        <w:rPr>
          <w:rFonts w:ascii="Times New Roman" w:hAnsi="Times New Roman" w:cs="Times New Roman"/>
          <w:i/>
          <w:iCs/>
        </w:rPr>
        <w:t>Β. Σκουρής</w:t>
      </w:r>
      <w:r w:rsidRPr="0036465A">
        <w:rPr>
          <w:rFonts w:ascii="Times New Roman" w:hAnsi="Times New Roman" w:cs="Times New Roman"/>
        </w:rPr>
        <w:t>, Ζητήματα έννομης προστασίας στην αναθεώρηση του Συντάγματος, Εκδ. Αντ. Ν. Σάκκουλα, 2000.</w:t>
      </w:r>
    </w:p>
  </w:footnote>
  <w:footnote w:id="11">
    <w:p w14:paraId="075A8BB2" w14:textId="20A3AC37" w:rsidR="002B3E78" w:rsidRPr="0036465A" w:rsidRDefault="00764E05" w:rsidP="00A545BD">
      <w:pPr>
        <w:pStyle w:val="a9"/>
        <w:jc w:val="both"/>
        <w:rPr>
          <w:rFonts w:ascii="Times New Roman" w:hAnsi="Times New Roman" w:cs="Times New Roman"/>
        </w:rPr>
      </w:pPr>
      <w:r w:rsidRPr="0036465A">
        <w:rPr>
          <w:rStyle w:val="ae"/>
          <w:rFonts w:ascii="Times New Roman" w:hAnsi="Times New Roman" w:cs="Times New Roman"/>
          <w:vertAlign w:val="superscript"/>
        </w:rPr>
        <w:footnoteRef/>
      </w:r>
      <w:r w:rsidRPr="0036465A">
        <w:rPr>
          <w:rStyle w:val="FootnoteCharacters"/>
          <w:rFonts w:ascii="Times New Roman" w:hAnsi="Times New Roman" w:cs="Times New Roman"/>
        </w:rPr>
        <w:tab/>
      </w:r>
      <w:r w:rsidRPr="0036465A">
        <w:rPr>
          <w:rFonts w:ascii="Times New Roman" w:hAnsi="Times New Roman" w:cs="Times New Roman"/>
        </w:rPr>
        <w:t xml:space="preserve"> </w:t>
      </w:r>
      <w:r w:rsidRPr="0036465A">
        <w:rPr>
          <w:rFonts w:ascii="Times New Roman" w:hAnsi="Times New Roman" w:cs="Times New Roman"/>
        </w:rPr>
        <w:t>Έχει προταθεί και η ενδεχόμενη ανάθεση εκ του Συντάγματος της αρμοδιότητας για τον καθορισμό των υποθέσεων που θα υποβάλλονται σε κρίση σε πρώτο και τελευταίο βαθμό ενώπιον του ΣτΕ στη Διοικητική Ολομέλεια του Δικαστηρίου αυτού (</w:t>
      </w:r>
      <w:r w:rsidRPr="0036465A">
        <w:rPr>
          <w:rFonts w:ascii="Times New Roman" w:hAnsi="Times New Roman" w:cs="Times New Roman"/>
          <w:i/>
          <w:iCs/>
        </w:rPr>
        <w:t>Ι. Συμεωνίδης</w:t>
      </w:r>
      <w:r w:rsidRPr="0036465A">
        <w:rPr>
          <w:rFonts w:ascii="Times New Roman" w:hAnsi="Times New Roman" w:cs="Times New Roman"/>
        </w:rPr>
        <w:t xml:space="preserve">, </w:t>
      </w:r>
      <w:r w:rsidR="00F077BF">
        <w:rPr>
          <w:rFonts w:ascii="Times New Roman" w:hAnsi="Times New Roman" w:cs="Times New Roman"/>
        </w:rPr>
        <w:t xml:space="preserve">Νέες δομές στη διοικητική δικαιοσύνη και αναθεώρηση των άρθρων 94 και 95 του Συντάγματος, </w:t>
      </w:r>
      <w:r w:rsidRPr="0036465A">
        <w:rPr>
          <w:rFonts w:ascii="Times New Roman" w:hAnsi="Times New Roman" w:cs="Times New Roman"/>
        </w:rPr>
        <w:t>ΘΠΔΔ 2015, σ. 714).</w:t>
      </w:r>
    </w:p>
  </w:footnote>
  <w:footnote w:id="12">
    <w:p w14:paraId="37ADD09B" w14:textId="77777777" w:rsidR="00A545BD" w:rsidRPr="0036465A" w:rsidRDefault="00A545BD" w:rsidP="00A545BD">
      <w:pPr>
        <w:pStyle w:val="a9"/>
        <w:jc w:val="both"/>
        <w:rPr>
          <w:rFonts w:ascii="Times New Roman" w:hAnsi="Times New Roman" w:cs="Times New Roman"/>
        </w:rPr>
      </w:pPr>
      <w:r w:rsidRPr="0036465A">
        <w:rPr>
          <w:rStyle w:val="af8"/>
          <w:rFonts w:ascii="Times New Roman" w:hAnsi="Times New Roman" w:cs="Times New Roman"/>
        </w:rPr>
        <w:footnoteRef/>
      </w:r>
      <w:r w:rsidRPr="0036465A">
        <w:rPr>
          <w:rFonts w:ascii="Times New Roman" w:hAnsi="Times New Roman" w:cs="Times New Roman"/>
        </w:rPr>
        <w:t xml:space="preserve"> </w:t>
      </w:r>
      <w:r w:rsidRPr="0036465A">
        <w:rPr>
          <w:rFonts w:ascii="Times New Roman" w:hAnsi="Times New Roman" w:cs="Times New Roman"/>
        </w:rPr>
        <w:t xml:space="preserve">Εδώ, βεβαίως, προτείνεται η </w:t>
      </w:r>
      <w:r w:rsidRPr="0036465A">
        <w:rPr>
          <w:rFonts w:ascii="Times New Roman" w:hAnsi="Times New Roman" w:cs="Times New Roman"/>
          <w:color w:val="000000"/>
          <w:kern w:val="0"/>
        </w:rPr>
        <w:t xml:space="preserve">εισαγωγή μίας κάπως λεπτομερειακής ρύθμισης στο Σύνταγμα, πρόταση που δεν τελεί σε αρμονία με προηγούμενες διαπιστώσεις μου περί ανάγκης λιτής διατύπωσης των συτναγματικών διατάξεων. Θα μπορούσε να υποστηριχθεί και η άποψη ότι η «συνταγματοποίηση» της απαρίθμησης των αρμοδιοτήτων μπορεί να δημιουργήσει ερμηνευτικά προβλήματα αν είναι αποκλειστική και να μην επιλύσει κανένα αν είναι ενδεικτική! </w:t>
      </w:r>
    </w:p>
  </w:footnote>
  <w:footnote w:id="13">
    <w:p w14:paraId="222892D7" w14:textId="77777777" w:rsidR="00596E61" w:rsidRDefault="00596E61" w:rsidP="001954F1">
      <w:pPr>
        <w:pStyle w:val="a9"/>
        <w:jc w:val="both"/>
      </w:pPr>
      <w:r>
        <w:rPr>
          <w:rStyle w:val="af8"/>
        </w:rPr>
        <w:footnoteRef/>
      </w:r>
      <w:r>
        <w:t xml:space="preserve"> </w:t>
      </w:r>
      <w:r w:rsidRPr="0036465A">
        <w:rPr>
          <w:rFonts w:ascii="Times New Roman" w:hAnsi="Times New Roman" w:cs="Times New Roman"/>
          <w:i/>
          <w:iCs/>
        </w:rPr>
        <w:t>Ι. Συμεωνίδης</w:t>
      </w:r>
      <w:r w:rsidRPr="0036465A">
        <w:rPr>
          <w:rFonts w:ascii="Times New Roman" w:hAnsi="Times New Roman" w:cs="Times New Roman"/>
        </w:rPr>
        <w:t>, Δώδεκα Δράσεις Θεσμικού Χαρακτήρα για τη Διοικητική Δικαιοσύνη</w:t>
      </w:r>
      <w:r w:rsidR="001954F1">
        <w:rPr>
          <w:rFonts w:ascii="Times New Roman" w:hAnsi="Times New Roman" w:cs="Times New Roman"/>
        </w:rPr>
        <w:t>, Σάκκουλας, 2018, σ. 8 επ</w:t>
      </w:r>
      <w:r>
        <w:rPr>
          <w:rFonts w:ascii="Times New Roman" w:hAnsi="Times New Roman" w:cs="Times New Roman"/>
        </w:rPr>
        <w:t>.</w:t>
      </w:r>
    </w:p>
  </w:footnote>
  <w:footnote w:id="14">
    <w:p w14:paraId="0996155B" w14:textId="77777777" w:rsidR="002B3E78" w:rsidRPr="0036465A" w:rsidRDefault="00764E05">
      <w:pPr>
        <w:pStyle w:val="a9"/>
        <w:jc w:val="both"/>
        <w:rPr>
          <w:rFonts w:ascii="Times New Roman" w:hAnsi="Times New Roman" w:cs="Times New Roman"/>
        </w:rPr>
      </w:pPr>
      <w:r w:rsidRPr="0036465A">
        <w:rPr>
          <w:rStyle w:val="ae"/>
          <w:rFonts w:ascii="Times New Roman" w:hAnsi="Times New Roman" w:cs="Times New Roman"/>
          <w:color w:val="000000" w:themeColor="text1"/>
          <w:vertAlign w:val="superscript"/>
        </w:rPr>
        <w:footnoteRef/>
      </w:r>
      <w:r w:rsidRPr="0036465A">
        <w:rPr>
          <w:rStyle w:val="FootnoteCharacters"/>
          <w:rFonts w:ascii="Times New Roman" w:hAnsi="Times New Roman" w:cs="Times New Roman"/>
          <w:color w:val="000000" w:themeColor="text1"/>
        </w:rPr>
        <w:tab/>
      </w:r>
      <w:r w:rsidRPr="0036465A">
        <w:rPr>
          <w:rFonts w:ascii="Times New Roman" w:hAnsi="Times New Roman" w:cs="Times New Roman"/>
          <w:color w:val="000000" w:themeColor="text1"/>
        </w:rPr>
        <w:t xml:space="preserve"> </w:t>
      </w:r>
      <w:r w:rsidR="00596E61">
        <w:rPr>
          <w:rFonts w:ascii="Times New Roman" w:hAnsi="Times New Roman" w:cs="Times New Roman"/>
          <w:color w:val="000000" w:themeColor="text1"/>
        </w:rPr>
        <w:t xml:space="preserve">ΣτΕ 1531/2019: </w:t>
      </w:r>
      <w:r w:rsidRPr="0036465A">
        <w:rPr>
          <w:rFonts w:ascii="Times New Roman" w:hAnsi="Times New Roman" w:cs="Times New Roman"/>
          <w:color w:val="000000" w:themeColor="text1"/>
          <w:shd w:val="clear" w:color="auto" w:fill="FFFFFF"/>
        </w:rPr>
        <w:t>Η αμφισβήτηση της έγκρισης της τεχνικής μελέτης, που προβλέπεται ως προϋπόθεση για την έναρξη των μεταλλευτικών ή λατομικών εργασιών, βάσει του Κανονισμού Μεταλλευτικών και Λατομικών Εργασιών δημιουργεί ακυρωτική διαφορά, σύμφωνα με τα άρθρα 94 και 95 Σ, διότι η άσκηση της εν λόγω αρμοδιότητας, συναρτάται ευθέως με ειδικές επιστημονικές γνώσεις και τεχνικές κρίσεις. Κατά συνέπεια, ο δικαστικός έλεγχος των κρίσεων αυτών δεν θα μπορούσε να επεκταθεί σε ουσιαστική επανεξέταση και μεταρρύθμισή τους, αλλά θα περιοριζόταν, από τη φύση του πράγματος, σε έλεγχο πληρότητας και επάρκειας της αιτιολογίας και μη συνδρομής περιπτώσεως πλάνης περί τα πράγματα, δηλαδή στοιχείων που αποτελούν το βασικό αντικείμενο του ακυρωτικού δικαστικού ελέγχου. Επομένως, η εξέταση της ορθότητας των ως άνω ειδικών επιστημονικών γνώσεων και τεχνικών κρίσεων, στο πλαίσιο της άσκησης πλήρους δικαιοδοσίας που χαρακτηρίζει τις διαφορές ουσίες, δεν θα εξασφάλιζε λυσιτελέστερο και αποτελεσματικότερο δικαστικό έλεγχο της έγκρισης, αλλά θα καθιστούσε κενές περιεχομένου τις εξουσίες του δικαστή της ουσίας. Πάντως, το Δικαστήριο εξακολουθεί να υιοθετεί την οιονεί «αξιωματική» διατύπωση ότι η έγκριση τεχνικής μελέτης αποτελεί και έγκριση δόμησης, η αμφισβήτηση της οποίας γεννά</w:t>
      </w:r>
      <w:r w:rsidRPr="0036465A">
        <w:rPr>
          <w:rStyle w:val="apple-converted-space"/>
          <w:rFonts w:ascii="Times New Roman" w:hAnsi="Times New Roman" w:cs="Times New Roman"/>
          <w:color w:val="000000" w:themeColor="text1"/>
          <w:shd w:val="clear" w:color="auto" w:fill="FFFFFF"/>
        </w:rPr>
        <w:t> </w:t>
      </w:r>
      <w:r w:rsidRPr="0036465A">
        <w:rPr>
          <w:rFonts w:ascii="Times New Roman" w:hAnsi="Times New Roman" w:cs="Times New Roman"/>
          <w:i/>
          <w:iCs/>
          <w:color w:val="000000" w:themeColor="text1"/>
        </w:rPr>
        <w:t>«διαφορά που, από την φύση της, είναι ακυρωτική</w:t>
      </w:r>
      <w:r w:rsidRPr="0036465A">
        <w:rPr>
          <w:rStyle w:val="ac"/>
          <w:rFonts w:ascii="Times New Roman" w:hAnsi="Times New Roman" w:cs="Times New Roman"/>
          <w:color w:val="000000" w:themeColor="text1"/>
        </w:rPr>
        <w:t xml:space="preserve">». </w:t>
      </w:r>
      <w:r w:rsidRPr="0036465A">
        <w:rPr>
          <w:rFonts w:ascii="Times New Roman" w:hAnsi="Times New Roman" w:cs="Times New Roman"/>
          <w:color w:val="000000" w:themeColor="text1"/>
          <w:shd w:val="clear" w:color="auto" w:fill="FFFFFF"/>
        </w:rPr>
        <w:t>Εμμένει, δηλαδή, στη γραμμή της νομολογίας ΣτΕ Ολ 3919/2010 και των λοιπών αποφάσεων της Ολομέλειας που εκδόθηκαν κατόπιν παραπεμπτικών αποφάσεων του Δ΄ Τμήματος επί αιτήσεων ακύρωσης είτε κατά ατομικών είτε κατά κανονιστικών πράξεων της ΕΕΤΤ και αφορούν το ζήτημα της μεταφοράς αρμοδιοτήτων από το ΣτΕ στα ΤΔΔ, είτε ως ακυρωτικές είτε ως διαφορές ουσίας. Πρόκειται για τις ΣτΕ Ολ 693/2013 (ΘΠΔΔ 8-9/2013, σ. 743), που εκδόθηκε κατόπιν της παραπεμπτικής ΣτΕ 1630/2009 του Δ΄ Τμήματος, ΣτΕ Ολ 616/2013 κατόπιν της ΣτΕ 3618/2008, ΣτΕ Ολ 617/2013 κατόπιν της ΣτΕ 3617/2008, ΣτΕ Ολ 618/2013 κατόπιν της ΣτΕ 3622/2008, ΣτΕ Ολ 619/2013 κατόπιν της ΣτΕ 3623/2008, ΣτΕ Ολ 620/2013 κατόπιν της ΣτΕ 1631/2009, ΣτΕ Ολ 621/2013 κατόπιν της ΣτΕ 1632/2009 και ΣτΕ Ολ 622/2013 κατόπιν της ΣτΕ 1633/2009. Φαίνεται ότι οι απόψεις που διατυπώνονται στη θεωρία ότι η διάκριση των διαφορών, μετά τη διεύρυνση των εξουσιών του ακυρωτικού δικαστή, έχει καταστεί σκιώδης και παρωχημένη, δεν έχει πείσει το Δικαστήριο. Αντιθέτως, από την αμφισβήτηση ατομικών διοικητικών πράξεων οι οποίες εκδίδονται κατ’ εφαρμογή της νομοθεσίας περί μεταλλείων ή λατομείων γεννώνται, κατ’</w:t>
      </w:r>
      <w:r w:rsidR="00006434" w:rsidRPr="0036465A">
        <w:rPr>
          <w:rFonts w:ascii="Times New Roman" w:hAnsi="Times New Roman" w:cs="Times New Roman"/>
          <w:color w:val="000000" w:themeColor="text1"/>
          <w:shd w:val="clear" w:color="auto" w:fill="FFFFFF"/>
        </w:rPr>
        <w:t xml:space="preserve"> </w:t>
      </w:r>
      <w:r w:rsidRPr="0036465A">
        <w:rPr>
          <w:rFonts w:ascii="Times New Roman" w:hAnsi="Times New Roman" w:cs="Times New Roman"/>
          <w:color w:val="000000" w:themeColor="text1"/>
          <w:shd w:val="clear" w:color="auto" w:fill="FFFFFF"/>
        </w:rPr>
        <w:t xml:space="preserve">αρχήν, διοικητικές διαφορές ουσίας που ανήκουν στην αρμοδιότητα του διοικητικού πρωτοδικείου, ανεξαρτήτως αν ο ασκών το ένδικο βοήθημα αξιώνει ίδια δικαιώματα (μεταλλείας ή λατομίας) ή ενεργεί ως τρίτος, επικαλούμενος βλάβη από την προσβαλλόμενη πράξη, όπως πχ η απόφαση </w:t>
      </w:r>
      <w:r w:rsidR="001954F1">
        <w:rPr>
          <w:rFonts w:ascii="Times New Roman" w:hAnsi="Times New Roman" w:cs="Times New Roman"/>
          <w:color w:val="000000" w:themeColor="text1"/>
          <w:shd w:val="clear" w:color="auto" w:fill="FFFFFF"/>
        </w:rPr>
        <w:t>ΓΓ</w:t>
      </w:r>
      <w:r w:rsidRPr="0036465A">
        <w:rPr>
          <w:rFonts w:ascii="Times New Roman" w:hAnsi="Times New Roman" w:cs="Times New Roman"/>
          <w:color w:val="000000" w:themeColor="text1"/>
          <w:shd w:val="clear" w:color="auto" w:fill="FFFFFF"/>
        </w:rPr>
        <w:t xml:space="preserve"> Περιφέρειας, με την οποία εγκρίθηκε, βάσει του άρθρου 57 του ν. 998/1979, επέμβαση για την εκμετάλλευση από εταιρεία ενός λατομείου αδρανών υλικών σε έκταση χορτολιβαδικής μορφής, ή η απόφαση του Γενικού Γραμματέα Αποκεντρωμένης Διοίκησης με την οποία απορρίφθηκε αίτηση για τη χορήγηση συναινέσεως για ερευνητικές εργασίες. Βλ. συναφώς </w:t>
      </w:r>
      <w:r w:rsidRPr="0036465A">
        <w:rPr>
          <w:rStyle w:val="ac"/>
          <w:rFonts w:ascii="Times New Roman" w:hAnsi="Times New Roman" w:cs="Times New Roman"/>
          <w:color w:val="000000" w:themeColor="text1"/>
        </w:rPr>
        <w:t>Κ. Γώγου,</w:t>
      </w:r>
      <w:r w:rsidRPr="0036465A">
        <w:rPr>
          <w:rStyle w:val="apple-converted-space"/>
          <w:rFonts w:ascii="Times New Roman" w:hAnsi="Times New Roman" w:cs="Times New Roman"/>
          <w:i/>
          <w:iCs/>
          <w:color w:val="000000" w:themeColor="text1"/>
        </w:rPr>
        <w:t> </w:t>
      </w:r>
      <w:r w:rsidRPr="0036465A">
        <w:rPr>
          <w:rFonts w:ascii="Times New Roman" w:hAnsi="Times New Roman" w:cs="Times New Roman"/>
          <w:color w:val="000000" w:themeColor="text1"/>
          <w:shd w:val="clear" w:color="auto" w:fill="FFFFFF"/>
        </w:rPr>
        <w:t>Η εφαρμογή των αναθεωρημένων διατάξεων του Συντάγματος για τους δικαστικούς λειτουργούς και την απο</w:t>
      </w:r>
      <w:r w:rsidRPr="0036465A">
        <w:rPr>
          <w:rFonts w:ascii="Times New Roman" w:hAnsi="Times New Roman" w:cs="Times New Roman"/>
          <w:color w:val="000000" w:themeColor="text1"/>
          <w:shd w:val="clear" w:color="auto" w:fill="FFFFFF"/>
        </w:rPr>
        <w:softHyphen/>
        <w:t>νομή της δικαιοσύνης. Ένας απολογισμός, in</w:t>
      </w:r>
      <w:r w:rsidRPr="0036465A">
        <w:rPr>
          <w:rStyle w:val="apple-converted-space"/>
          <w:rFonts w:ascii="Times New Roman" w:hAnsi="Times New Roman" w:cs="Times New Roman"/>
          <w:color w:val="000000" w:themeColor="text1"/>
          <w:shd w:val="clear" w:color="auto" w:fill="FFFFFF"/>
        </w:rPr>
        <w:t> </w:t>
      </w:r>
      <w:r w:rsidRPr="0036465A">
        <w:rPr>
          <w:rStyle w:val="ac"/>
          <w:rFonts w:ascii="Times New Roman" w:hAnsi="Times New Roman" w:cs="Times New Roman"/>
          <w:color w:val="000000" w:themeColor="text1"/>
        </w:rPr>
        <w:t>Ξ. Κοντιάδης</w:t>
      </w:r>
      <w:r w:rsidRPr="0036465A">
        <w:rPr>
          <w:rStyle w:val="apple-converted-space"/>
          <w:rFonts w:ascii="Times New Roman" w:hAnsi="Times New Roman" w:cs="Times New Roman"/>
          <w:i/>
          <w:iCs/>
          <w:color w:val="000000" w:themeColor="text1"/>
        </w:rPr>
        <w:t> </w:t>
      </w:r>
      <w:r w:rsidRPr="0036465A">
        <w:rPr>
          <w:rFonts w:ascii="Times New Roman" w:hAnsi="Times New Roman" w:cs="Times New Roman"/>
          <w:color w:val="000000" w:themeColor="text1"/>
          <w:shd w:val="clear" w:color="auto" w:fill="FFFFFF"/>
        </w:rPr>
        <w:t>(επιμ.). Πέντε χρόνια μετά τη συνταγματική αναθεώρηση του 2001, Αντ. Ν. Σάκκουλας, Αθήνα</w:t>
      </w:r>
      <w:r w:rsidRPr="0036465A">
        <w:rPr>
          <w:rFonts w:ascii="Times New Roman" w:hAnsi="Times New Roman" w:cs="Times New Roman"/>
          <w:color w:val="000000" w:themeColor="text1"/>
          <w:shd w:val="clear" w:color="auto" w:fill="FFFFFF"/>
        </w:rPr>
        <w:softHyphen/>
        <w:t>-Κομοτηνή, 2006, σ. 733 (764 επ.)·</w:t>
      </w:r>
      <w:r w:rsidRPr="0036465A">
        <w:rPr>
          <w:rStyle w:val="apple-converted-space"/>
          <w:rFonts w:ascii="Times New Roman" w:hAnsi="Times New Roman" w:cs="Times New Roman"/>
          <w:color w:val="000000" w:themeColor="text1"/>
          <w:shd w:val="clear" w:color="auto" w:fill="FFFFFF"/>
        </w:rPr>
        <w:t> </w:t>
      </w:r>
      <w:r w:rsidRPr="0036465A">
        <w:rPr>
          <w:rStyle w:val="ac"/>
          <w:rFonts w:ascii="Times New Roman" w:hAnsi="Times New Roman" w:cs="Times New Roman"/>
          <w:color w:val="000000" w:themeColor="text1"/>
        </w:rPr>
        <w:t>Ε. Πρεβεδούρου</w:t>
      </w:r>
      <w:r w:rsidRPr="0036465A">
        <w:rPr>
          <w:rFonts w:ascii="Times New Roman" w:hAnsi="Times New Roman" w:cs="Times New Roman"/>
          <w:color w:val="000000" w:themeColor="text1"/>
          <w:shd w:val="clear" w:color="auto" w:fill="FFFFFF"/>
        </w:rPr>
        <w:t>, Οριστικό τέλος στο θέμα των δοκιμών σε ημιβιομηχανική κλίμακα «επί τόπου» του έργου στην Ολυμπιάδα και στις Σκουριές (ΣτΕ Ολ 217/2016), ΘΠΔΔ 1/2016, σ. 38· </w:t>
      </w:r>
      <w:r w:rsidRPr="0036465A">
        <w:rPr>
          <w:rStyle w:val="ac"/>
          <w:rFonts w:ascii="Times New Roman" w:hAnsi="Times New Roman" w:cs="Times New Roman"/>
          <w:color w:val="000000" w:themeColor="text1"/>
        </w:rPr>
        <w:t>της ίδιας</w:t>
      </w:r>
      <w:r w:rsidRPr="0036465A">
        <w:rPr>
          <w:rStyle w:val="ad"/>
          <w:rFonts w:ascii="Times New Roman" w:hAnsi="Times New Roman" w:cs="Times New Roman"/>
          <w:color w:val="000000" w:themeColor="text1"/>
        </w:rPr>
        <w:t>,</w:t>
      </w:r>
      <w:r w:rsidRPr="0036465A">
        <w:rPr>
          <w:rStyle w:val="apple-converted-space"/>
          <w:rFonts w:ascii="Times New Roman" w:hAnsi="Times New Roman" w:cs="Times New Roman"/>
          <w:b/>
          <w:bCs/>
          <w:color w:val="000000" w:themeColor="text1"/>
        </w:rPr>
        <w:t> </w:t>
      </w:r>
      <w:r w:rsidRPr="0036465A">
        <w:rPr>
          <w:rFonts w:ascii="Times New Roman" w:hAnsi="Times New Roman" w:cs="Times New Roman"/>
          <w:color w:val="000000" w:themeColor="text1"/>
          <w:shd w:val="clear" w:color="auto" w:fill="FFFFFF"/>
        </w:rPr>
        <w:t>O ακυρωτικός έλεγχος των διοικητικών πράξεων υπό το πρίσμα της Ευρωπαϊκής Συμβάσεως των Δικαιωμάτων του Ανθρώπου, in Το Δημόσιο Δίκαιο σε εξέλιξη. Σύμμεικτα προς τιμήν του καθηγητού Πέτρου Παραρά, Εκδ. Αντ. Ν. Σάκκουλα, 2012, σ. 822-883·</w:t>
      </w:r>
      <w:r w:rsidRPr="0036465A">
        <w:rPr>
          <w:rStyle w:val="apple-converted-space"/>
          <w:rFonts w:ascii="Times New Roman" w:hAnsi="Times New Roman" w:cs="Times New Roman"/>
          <w:color w:val="000000" w:themeColor="text1"/>
          <w:shd w:val="clear" w:color="auto" w:fill="FFFFFF"/>
        </w:rPr>
        <w:t> </w:t>
      </w:r>
      <w:r w:rsidRPr="0036465A">
        <w:rPr>
          <w:rStyle w:val="ac"/>
          <w:rFonts w:ascii="Times New Roman" w:hAnsi="Times New Roman" w:cs="Times New Roman"/>
          <w:color w:val="000000" w:themeColor="text1"/>
        </w:rPr>
        <w:t>Ι. Συμεωνίδη,</w:t>
      </w:r>
      <w:r w:rsidRPr="0036465A">
        <w:rPr>
          <w:rFonts w:ascii="Times New Roman" w:hAnsi="Times New Roman" w:cs="Times New Roman"/>
          <w:color w:val="000000" w:themeColor="text1"/>
          <w:shd w:val="clear" w:color="auto" w:fill="FFFFFF"/>
        </w:rPr>
        <w:t> Η κατανομή των αρμοδιοτήτων στο εσωτερικό της διοικητικής δικαιοσύνης κατά τα άρθρα 94 και 95 του Συντάγματος, ΕφημΔΔ 5/2006, σ. 546· Η μεταρρύθμιση στο χώρο της διοικητικής δικαιοσύνης, ΕφημΔΔ 4/2010, σ. 515· Οι πρόσφατες μεταρρυθμίσεις στη διοικητική δικαιοσύνη και ο διάλογος που έχει ανοίξει για μια νέα πορεία του κλάδου, ΕφημΔΔ 3/2011, σ. 384· Νέες δομές στη διοικητική δικαιοσύνη και αναθεώρηση των άρθρων 94 και 95 του Συντάγματος, ΘΠΔΔ 8-9/2015, σ. 702·</w:t>
      </w:r>
      <w:r w:rsidRPr="0036465A">
        <w:rPr>
          <w:rStyle w:val="apple-converted-space"/>
          <w:rFonts w:ascii="Times New Roman" w:hAnsi="Times New Roman" w:cs="Times New Roman"/>
          <w:color w:val="000000" w:themeColor="text1"/>
          <w:shd w:val="clear" w:color="auto" w:fill="FFFFFF"/>
        </w:rPr>
        <w:t> </w:t>
      </w:r>
      <w:r w:rsidRPr="0036465A">
        <w:rPr>
          <w:rStyle w:val="ac"/>
          <w:rFonts w:ascii="Times New Roman" w:hAnsi="Times New Roman" w:cs="Times New Roman"/>
          <w:color w:val="000000" w:themeColor="text1"/>
        </w:rPr>
        <w:t>του ιδίου</w:t>
      </w:r>
      <w:r w:rsidRPr="0036465A">
        <w:rPr>
          <w:rFonts w:ascii="Times New Roman" w:hAnsi="Times New Roman" w:cs="Times New Roman"/>
          <w:color w:val="000000" w:themeColor="text1"/>
          <w:shd w:val="clear" w:color="auto" w:fill="FFFFFF"/>
        </w:rPr>
        <w:t>, Δώδεκα δράσεις θεσμικού χαρακτήρα για τη Διοικητική Δικαιοσύνη, Εκδ. Σάκκουλα, 2018, σ. 55·</w:t>
      </w:r>
      <w:r w:rsidRPr="0036465A">
        <w:rPr>
          <w:rStyle w:val="apple-converted-space"/>
          <w:rFonts w:ascii="Times New Roman" w:hAnsi="Times New Roman" w:cs="Times New Roman"/>
          <w:color w:val="000000" w:themeColor="text1"/>
          <w:shd w:val="clear" w:color="auto" w:fill="FFFFFF"/>
        </w:rPr>
        <w:t> </w:t>
      </w:r>
      <w:r w:rsidRPr="0036465A">
        <w:rPr>
          <w:rStyle w:val="ac"/>
          <w:rFonts w:ascii="Times New Roman" w:hAnsi="Times New Roman" w:cs="Times New Roman"/>
          <w:color w:val="000000" w:themeColor="text1"/>
        </w:rPr>
        <w:t>του ιδίου,</w:t>
      </w:r>
      <w:r w:rsidRPr="0036465A">
        <w:rPr>
          <w:rStyle w:val="apple-converted-space"/>
          <w:rFonts w:ascii="Times New Roman" w:hAnsi="Times New Roman" w:cs="Times New Roman"/>
          <w:i/>
          <w:iCs/>
          <w:color w:val="000000" w:themeColor="text1"/>
        </w:rPr>
        <w:t> </w:t>
      </w:r>
      <w:r w:rsidRPr="0036465A">
        <w:rPr>
          <w:rFonts w:ascii="Times New Roman" w:hAnsi="Times New Roman" w:cs="Times New Roman"/>
          <w:color w:val="000000" w:themeColor="text1"/>
          <w:shd w:val="clear" w:color="auto" w:fill="FFFFFF"/>
        </w:rPr>
        <w:t>Η ανάγκη ενός ενιαίου Κώδικα Διοικητικής Δικονομίας, ΘΠΔΔ 3/2018, σ. 193.</w:t>
      </w:r>
    </w:p>
  </w:footnote>
  <w:footnote w:id="15">
    <w:p w14:paraId="5DBDEFF7" w14:textId="77777777" w:rsidR="0064080E" w:rsidRPr="0036465A" w:rsidRDefault="0064080E">
      <w:pPr>
        <w:pStyle w:val="a9"/>
        <w:rPr>
          <w:rFonts w:ascii="Times New Roman" w:hAnsi="Times New Roman" w:cs="Times New Roman"/>
        </w:rPr>
      </w:pPr>
      <w:r w:rsidRPr="0036465A">
        <w:rPr>
          <w:rStyle w:val="af8"/>
          <w:rFonts w:ascii="Times New Roman" w:hAnsi="Times New Roman" w:cs="Times New Roman"/>
        </w:rPr>
        <w:footnoteRef/>
      </w:r>
      <w:r w:rsidRPr="0036465A">
        <w:rPr>
          <w:rFonts w:ascii="Times New Roman" w:hAnsi="Times New Roman" w:cs="Times New Roman"/>
        </w:rPr>
        <w:t xml:space="preserve"> </w:t>
      </w:r>
      <w:r w:rsidRPr="0036465A">
        <w:rPr>
          <w:rFonts w:ascii="Times New Roman" w:hAnsi="Times New Roman" w:cs="Times New Roman"/>
        </w:rPr>
        <w:t>ΣτΕ Ολ 189/2007, Ολ 3</w:t>
      </w:r>
      <w:r w:rsidR="00BA65A7">
        <w:rPr>
          <w:rFonts w:ascii="Times New Roman" w:hAnsi="Times New Roman" w:cs="Times New Roman"/>
        </w:rPr>
        <w:t>9</w:t>
      </w:r>
      <w:r w:rsidRPr="0036465A">
        <w:rPr>
          <w:rFonts w:ascii="Times New Roman" w:hAnsi="Times New Roman" w:cs="Times New Roman"/>
        </w:rPr>
        <w:t>19/2010</w:t>
      </w:r>
      <w:r w:rsidR="007C62DB">
        <w:rPr>
          <w:rFonts w:ascii="Times New Roman" w:hAnsi="Times New Roman" w:cs="Times New Roman"/>
        </w:rPr>
        <w:t>.</w:t>
      </w:r>
    </w:p>
  </w:footnote>
  <w:footnote w:id="16">
    <w:p w14:paraId="5AABC181" w14:textId="77777777" w:rsidR="006C1C7D" w:rsidRDefault="006C1C7D" w:rsidP="006C1C7D">
      <w:pPr>
        <w:pStyle w:val="a9"/>
        <w:jc w:val="both"/>
      </w:pPr>
      <w:r w:rsidRPr="002C6EB2">
        <w:rPr>
          <w:rStyle w:val="af8"/>
          <w:rFonts w:ascii="Times New Roman" w:hAnsi="Times New Roman" w:cs="Times New Roman"/>
        </w:rPr>
        <w:footnoteRef/>
      </w:r>
      <w:r w:rsidRPr="002C6EB2">
        <w:rPr>
          <w:rFonts w:ascii="Times New Roman" w:hAnsi="Times New Roman" w:cs="Times New Roman"/>
        </w:rPr>
        <w:t xml:space="preserve"> </w:t>
      </w:r>
      <w:r w:rsidR="002C6EB2" w:rsidRPr="002C6EB2">
        <w:rPr>
          <w:rFonts w:ascii="Times New Roman" w:hAnsi="Times New Roman" w:cs="Times New Roman"/>
        </w:rPr>
        <w:t>ΣτΕ Ολ 3919/2010, σκ. 8:</w:t>
      </w:r>
      <w:r w:rsidR="002C6EB2">
        <w:t xml:space="preserve"> </w:t>
      </w:r>
      <w:r w:rsidRPr="006C1C7D">
        <w:rPr>
          <w:rFonts w:ascii="Times New Roman" w:hAnsi="Times New Roman" w:cs="Times New Roman"/>
          <w:i/>
          <w:iCs/>
        </w:rPr>
        <w:t xml:space="preserve">δεν επιτρέπεται να οργανώνεται η αρμοδιότητα των τακτικών διοικητικών δικαστηρίων ως εκτεινόμενη σε άσκηση πλήρους δικαιοδοσίας για την εκδίκαση των κατηγοριών υποθέσεων που, κατ΄ εκτίμηση της φύσεως και της σπουδαιότητάς τους, επιτρεπτώς μεταφέρονται σε αυτά, αφαιρούμενα από την ακυρωτική αρμοδιότητα του Συμβουλίου της Επικρατείας, εφόσον η άσκηση πλήρους δικαιοδοσίας στις συγκεκριμένες κατηγορίες υποθέσεων συνεπάγεται την υπεισέλευση της δικαστικής λειτουργίας στην εκτελεστική επί θεμάτων για τα οποία είναι αυτή αποκλειστικώς αρμόδια: Α) Λόγω ρητής συνταγματικής προβλέψεως, όπως στην περίπτωση της προσβολής κανονιστικών διοικητικών πράξεων, δεδομένου ότι με αυτές αναγνωρίζονται δικαιώματα ή επιβάλλονται υποχρεώσεις ή ρυθμίζονται καταστάσεις απροσώπως και, συνεπώς, η μεταρρύθμισή τους από το δικαστή, συνεπαγόμενη τη διαμόρφωση των ρυθμιζόμενων δικαιωμάτων, υποχρεώσεων ή καταστάσεων από το δικαστή, η οποία μόνον απροσώπως θα ήταν δυνατή, θα συνιστούσε θέσπιση νέας κανονιστικής διοικητικής πράξεως, για την οποία όμως αρμόδια είναι μόνο τα προβλεπόμενα από το άρθρο 43 του Συντάγματος όργανα της εκτελεστικής εξουσίας. Τούτου έπεται ότι η μετατροπή των διαφορών αυτών σε ουσιαστικές θα προσέκρουε στις συνταγματικές αυτές διατάξεις διότι θα είχε ως αποτέλεσμα την άσκηση της κανονιστικής αρμοδιότητας των ανωτέρω διοικητικών οργάνων από τα διοικητικά δικαστήρια. Ο έλεγχος, συνεπώς, των διοικητικών πράξεων, όταν προσβάλλονται ευθέως, είναι δυνατός μόνον ακυρωτικώς, κατ΄ αυτόν δε εξετάζεται α) αν η εξουσιοδοτική διάταξη είναι σύμφωνη προς συνταγματικές ή υπερνομοθετικής ισχύος διατάξεις, β) αν τηρήθηκε η προβλεπόμενη από την εξουσιοδοτική διάταξη διαδικασία εκδόσεως της κανονιστικής πράξεως, γ) αν το περιεχόμενο της κανονιστικής ρυθμίσεως ευρίσκεται εντός των ορίων της εξουσιοδοτικής διατάξεως και δ) αν η κανονιστική ρύθμιση είναι σύμφωνη προς συνταγματικές ή υπερνοθετικής ισχύος διατάξεις. Και Β) Όταν εν όψει του κατά το νόμο αντικειμένου της προσβαλλομένης ατομικής διοικητικής πράξεως, των προϋποθέσεων που απαιτούνται για την έκδοσή της και του χαρακτήρα της έρευνας βάσει της οποίας μπορεί να διαπιστωθεί η συνδρομή των προϋποθέσεων αυτών και των συνεπειών, τις οποίες θα επέφερε η μεταρρύθμιση της πράξεως, η άσκηση πλήρους δικαιοδοσίας, </w:t>
      </w:r>
      <w:r w:rsidR="002C6EB2">
        <w:rPr>
          <w:rFonts w:ascii="Times New Roman" w:hAnsi="Times New Roman" w:cs="Times New Roman"/>
          <w:i/>
          <w:iCs/>
        </w:rPr>
        <w:t>…</w:t>
      </w:r>
      <w:r w:rsidRPr="006C1C7D">
        <w:rPr>
          <w:rFonts w:ascii="Times New Roman" w:hAnsi="Times New Roman" w:cs="Times New Roman"/>
          <w:i/>
          <w:iCs/>
        </w:rPr>
        <w:t>, θα παραβίαζε τα όρια της ανατιθέμενης αποκλειστικώς στα όργανα της Διοικητικής κρατικής εξουσίας βάσει της αρχής της διακρίσεως των λειτουργιών.</w:t>
      </w:r>
      <w:r w:rsidR="002C6EB2">
        <w:rPr>
          <w:rFonts w:ascii="Times New Roman" w:hAnsi="Times New Roman" w:cs="Times New Roman"/>
          <w:i/>
          <w:iCs/>
        </w:rPr>
        <w:t>»</w:t>
      </w:r>
    </w:p>
  </w:footnote>
  <w:footnote w:id="17">
    <w:p w14:paraId="0A2B457D" w14:textId="77777777" w:rsidR="00766FA8" w:rsidRPr="0036465A" w:rsidRDefault="00766FA8" w:rsidP="00766FA8">
      <w:pPr>
        <w:pStyle w:val="a9"/>
        <w:rPr>
          <w:rFonts w:ascii="Times New Roman" w:hAnsi="Times New Roman" w:cs="Times New Roman"/>
          <w:color w:val="000000" w:themeColor="text1"/>
        </w:rPr>
      </w:pPr>
      <w:r w:rsidRPr="0036465A">
        <w:rPr>
          <w:rStyle w:val="af8"/>
          <w:rFonts w:ascii="Times New Roman" w:hAnsi="Times New Roman" w:cs="Times New Roman"/>
        </w:rPr>
        <w:footnoteRef/>
      </w:r>
      <w:r w:rsidRPr="0036465A">
        <w:rPr>
          <w:rFonts w:ascii="Times New Roman" w:hAnsi="Times New Roman" w:cs="Times New Roman"/>
        </w:rPr>
        <w:t xml:space="preserve"> </w:t>
      </w:r>
      <w:r w:rsidRPr="0036465A">
        <w:rPr>
          <w:rFonts w:ascii="Times New Roman" w:hAnsi="Times New Roman" w:cs="Times New Roman"/>
        </w:rPr>
        <w:t xml:space="preserve">Κατάργηση, μάλιστα, </w:t>
      </w:r>
      <w:r w:rsidRPr="0036465A">
        <w:rPr>
          <w:rFonts w:ascii="Times New Roman" w:hAnsi="Times New Roman" w:cs="Times New Roman"/>
          <w:color w:val="000000" w:themeColor="text1"/>
        </w:rPr>
        <w:t>υπό διττή έννοια: τόσο ως προς τι σημαίνει “εκτελεστότητα” όσο και ποια είναι η “διοικητική αρχή”.</w:t>
      </w:r>
    </w:p>
  </w:footnote>
  <w:footnote w:id="18">
    <w:p w14:paraId="391574CC" w14:textId="77777777" w:rsidR="00766FA8" w:rsidRPr="0036465A" w:rsidRDefault="00766FA8" w:rsidP="00766FA8">
      <w:pPr>
        <w:pStyle w:val="a9"/>
        <w:jc w:val="both"/>
        <w:rPr>
          <w:rFonts w:ascii="Times New Roman" w:hAnsi="Times New Roman" w:cs="Times New Roman"/>
        </w:rPr>
      </w:pPr>
      <w:r w:rsidRPr="0036465A">
        <w:rPr>
          <w:rStyle w:val="af8"/>
          <w:rFonts w:ascii="Times New Roman" w:hAnsi="Times New Roman" w:cs="Times New Roman"/>
        </w:rPr>
        <w:footnoteRef/>
      </w:r>
      <w:r w:rsidRPr="0036465A">
        <w:rPr>
          <w:rFonts w:ascii="Times New Roman" w:hAnsi="Times New Roman" w:cs="Times New Roman"/>
        </w:rPr>
        <w:t xml:space="preserve"> </w:t>
      </w:r>
      <w:r w:rsidRPr="0036465A">
        <w:rPr>
          <w:rFonts w:ascii="Times New Roman" w:hAnsi="Times New Roman" w:cs="Times New Roman"/>
          <w:color w:val="000000" w:themeColor="text1"/>
        </w:rPr>
        <w:t>Θα είχε, ενδεχομένως κάποιο νόημα η διατήρηση της αρμοδιότητας του ΣτΕ για τα συμβούλια στα οποία μετέχει ανώτατος δικαστικός λειτουργός.</w:t>
      </w:r>
    </w:p>
  </w:footnote>
  <w:footnote w:id="19">
    <w:p w14:paraId="7B10A9A8" w14:textId="6FDDEFA4" w:rsidR="00F077BF" w:rsidRPr="00112095" w:rsidRDefault="00F077BF" w:rsidP="00112095">
      <w:pPr>
        <w:pStyle w:val="a9"/>
        <w:jc w:val="both"/>
        <w:rPr>
          <w:rFonts w:ascii="Times New Roman" w:hAnsi="Times New Roman" w:cs="Times New Roman"/>
          <w:color w:val="000000" w:themeColor="text1"/>
          <w:shd w:val="clear" w:color="auto" w:fill="FFFFFF"/>
        </w:rPr>
      </w:pPr>
      <w:r w:rsidRPr="00F077BF">
        <w:rPr>
          <w:rStyle w:val="af8"/>
          <w:rFonts w:ascii="Times New Roman" w:hAnsi="Times New Roman" w:cs="Times New Roman"/>
          <w:color w:val="000000" w:themeColor="text1"/>
        </w:rPr>
        <w:footnoteRef/>
      </w:r>
      <w:r w:rsidRPr="00F077BF">
        <w:rPr>
          <w:rFonts w:ascii="Times New Roman" w:hAnsi="Times New Roman" w:cs="Times New Roman"/>
          <w:color w:val="000000" w:themeColor="text1"/>
        </w:rPr>
        <w:t xml:space="preserve"> </w:t>
      </w:r>
      <w:r w:rsidRPr="00F077BF">
        <w:rPr>
          <w:rFonts w:ascii="Times New Roman" w:hAnsi="Times New Roman" w:cs="Times New Roman"/>
          <w:color w:val="000000" w:themeColor="text1"/>
          <w:shd w:val="clear" w:color="auto" w:fill="FFFFFF"/>
        </w:rPr>
        <w:t>Βλ. τις κλασικές μονογραφίες για το θέμα του</w:t>
      </w:r>
      <w:r w:rsidRPr="00F077BF">
        <w:rPr>
          <w:rStyle w:val="apple-converted-space"/>
          <w:rFonts w:ascii="Times New Roman" w:hAnsi="Times New Roman" w:cs="Times New Roman"/>
          <w:color w:val="000000" w:themeColor="text1"/>
          <w:shd w:val="clear" w:color="auto" w:fill="FFFFFF"/>
        </w:rPr>
        <w:t> </w:t>
      </w:r>
      <w:r w:rsidRPr="00F077BF">
        <w:rPr>
          <w:rStyle w:val="ac"/>
          <w:rFonts w:ascii="Times New Roman" w:hAnsi="Times New Roman" w:cs="Times New Roman"/>
          <w:color w:val="000000" w:themeColor="text1"/>
        </w:rPr>
        <w:t>Φ. Βεγλερή</w:t>
      </w:r>
      <w:r w:rsidRPr="00F077BF">
        <w:rPr>
          <w:rFonts w:ascii="Times New Roman" w:hAnsi="Times New Roman" w:cs="Times New Roman"/>
          <w:color w:val="000000" w:themeColor="text1"/>
          <w:shd w:val="clear" w:color="auto" w:fill="FFFFFF"/>
        </w:rPr>
        <w:t>, Η συμμόρφωσις της Διοικήσεως εις τας αποφάσεις του Συμβουλίου της Επικρατείας, Τζάκας-Δελαγραμμάτικας, Αθήνα, 1934 και της</w:t>
      </w:r>
      <w:r w:rsidRPr="00F077BF">
        <w:rPr>
          <w:rStyle w:val="apple-converted-space"/>
          <w:rFonts w:ascii="Times New Roman" w:hAnsi="Times New Roman" w:cs="Times New Roman"/>
          <w:color w:val="000000" w:themeColor="text1"/>
          <w:shd w:val="clear" w:color="auto" w:fill="FFFFFF"/>
        </w:rPr>
        <w:t> </w:t>
      </w:r>
      <w:r w:rsidRPr="00F077BF">
        <w:rPr>
          <w:rStyle w:val="ac"/>
          <w:rFonts w:ascii="Times New Roman" w:hAnsi="Times New Roman" w:cs="Times New Roman"/>
          <w:color w:val="000000" w:themeColor="text1"/>
        </w:rPr>
        <w:t>Δ. Κοντόγιωργα-Θεοχαροπούλου</w:t>
      </w:r>
      <w:r w:rsidRPr="00F077BF">
        <w:rPr>
          <w:rFonts w:ascii="Times New Roman" w:hAnsi="Times New Roman" w:cs="Times New Roman"/>
          <w:color w:val="000000" w:themeColor="text1"/>
          <w:shd w:val="clear" w:color="auto" w:fill="FFFFFF"/>
        </w:rPr>
        <w:t>, Αι συνέπειαι της ακυρώσεως διοικητικής πράξεως έναντι της Διοικήσεως κατόπιν ασκήσεως αιτήσεως ακυρώσεως, Σάκκουλας, Θεσσαλονίκη, 1980. Τις εξελίξεις της θεματικής προσεγγίζουν οι νεότερες διατριβές του</w:t>
      </w:r>
      <w:r w:rsidRPr="00F077BF">
        <w:rPr>
          <w:rStyle w:val="apple-converted-space"/>
          <w:rFonts w:ascii="Times New Roman" w:hAnsi="Times New Roman" w:cs="Times New Roman"/>
          <w:color w:val="000000" w:themeColor="text1"/>
          <w:shd w:val="clear" w:color="auto" w:fill="FFFFFF"/>
        </w:rPr>
        <w:t> </w:t>
      </w:r>
      <w:r w:rsidRPr="00F077BF">
        <w:rPr>
          <w:rStyle w:val="ac"/>
          <w:rFonts w:ascii="Times New Roman" w:hAnsi="Times New Roman" w:cs="Times New Roman"/>
          <w:color w:val="000000" w:themeColor="text1"/>
        </w:rPr>
        <w:t>Η. Κουβαρά</w:t>
      </w:r>
      <w:r w:rsidRPr="00F077BF">
        <w:rPr>
          <w:rFonts w:ascii="Times New Roman" w:hAnsi="Times New Roman" w:cs="Times New Roman"/>
          <w:color w:val="000000" w:themeColor="text1"/>
          <w:shd w:val="clear" w:color="auto" w:fill="FFFFFF"/>
        </w:rPr>
        <w:t>, Η Διοικητική Δικαιοσύνη ως δικαιοτελεστική λειτουργία. Συμβολή στην αποτελεσματικότητα της Διοικητικής Δικαιοσύνης, Νομική Βιβλιοθήκη, 2015, και της</w:t>
      </w:r>
      <w:r w:rsidRPr="00F077BF">
        <w:rPr>
          <w:rStyle w:val="apple-converted-space"/>
          <w:rFonts w:ascii="Times New Roman" w:hAnsi="Times New Roman" w:cs="Times New Roman"/>
          <w:color w:val="000000" w:themeColor="text1"/>
          <w:shd w:val="clear" w:color="auto" w:fill="FFFFFF"/>
        </w:rPr>
        <w:t> </w:t>
      </w:r>
      <w:r w:rsidRPr="00F077BF">
        <w:rPr>
          <w:rStyle w:val="ac"/>
          <w:rFonts w:ascii="Times New Roman" w:hAnsi="Times New Roman" w:cs="Times New Roman"/>
          <w:color w:val="000000" w:themeColor="text1"/>
        </w:rPr>
        <w:t>Στ. Καλογήρου</w:t>
      </w:r>
      <w:r w:rsidRPr="00F077BF">
        <w:rPr>
          <w:rFonts w:ascii="Times New Roman" w:hAnsi="Times New Roman" w:cs="Times New Roman"/>
          <w:color w:val="000000" w:themeColor="text1"/>
          <w:shd w:val="clear" w:color="auto" w:fill="FFFFFF"/>
        </w:rPr>
        <w:t>, Η συμμόρφωση της Διοίκησης στις ακυρωτικές αποφάσεις του Συμβουλίου της Επικρατείας και των Διοικητικών Δικαστηρίων, Νομική Βιβλιοθήκη, 2015.</w:t>
      </w:r>
      <w:r w:rsidR="00112095">
        <w:rPr>
          <w:rFonts w:ascii="Times New Roman" w:hAnsi="Times New Roman" w:cs="Times New Roman"/>
          <w:color w:val="000000" w:themeColor="text1"/>
          <w:shd w:val="clear" w:color="auto" w:fill="FFFFFF"/>
        </w:rPr>
        <w:t xml:space="preserve"> Βλ. και </w:t>
      </w:r>
      <w:r w:rsidR="00112095" w:rsidRPr="5481E65C">
        <w:rPr>
          <w:rFonts w:ascii="Times New Roman" w:hAnsi="Times New Roman" w:cs="Times New Roman"/>
          <w:i/>
          <w:iCs/>
          <w:color w:val="000000" w:themeColor="text1"/>
          <w:shd w:val="clear" w:color="auto" w:fill="FFFFFF"/>
        </w:rPr>
        <w:t>Χ. Αθανασοπούλου</w:t>
      </w:r>
      <w:r w:rsidR="00112095" w:rsidRPr="00112095">
        <w:rPr>
          <w:rFonts w:ascii="Times New Roman" w:hAnsi="Times New Roman" w:cs="Times New Roman"/>
          <w:color w:val="000000" w:themeColor="text1"/>
          <w:shd w:val="clear" w:color="auto" w:fill="FFFFFF"/>
        </w:rPr>
        <w:t xml:space="preserve">, Η συμμόρφωση της διοίκησης στις δικαστικές αποφάσεις, </w:t>
      </w:r>
      <w:r w:rsidR="00112095">
        <w:rPr>
          <w:rFonts w:ascii="Times New Roman" w:hAnsi="Times New Roman" w:cs="Times New Roman"/>
          <w:color w:val="000000" w:themeColor="text1"/>
          <w:shd w:val="clear" w:color="auto" w:fill="FFFFFF"/>
        </w:rPr>
        <w:t xml:space="preserve">Σάκκουλας, </w:t>
      </w:r>
      <w:r w:rsidR="00112095" w:rsidRPr="00112095">
        <w:rPr>
          <w:rFonts w:ascii="Times New Roman" w:hAnsi="Times New Roman" w:cs="Times New Roman"/>
          <w:color w:val="000000" w:themeColor="text1"/>
          <w:shd w:val="clear" w:color="auto" w:fill="FFFFFF"/>
        </w:rPr>
        <w:t>2021</w:t>
      </w:r>
      <w:r w:rsidR="00112095">
        <w:rPr>
          <w:rFonts w:ascii="Times New Roman" w:hAnsi="Times New Roman" w:cs="Times New Roman"/>
          <w:color w:val="000000" w:themeColor="text1"/>
          <w:shd w:val="clear" w:color="auto" w:fill="FFFFFF"/>
        </w:rPr>
        <w:t xml:space="preserve"> και </w:t>
      </w:r>
      <w:hyperlink r:id="rId2" w:history="1">
        <w:r w:rsidR="00112095" w:rsidRPr="5481E65C">
          <w:rPr>
            <w:rFonts w:ascii="Times New Roman" w:hAnsi="Times New Roman" w:cs="Times New Roman"/>
            <w:i/>
            <w:iCs/>
            <w:color w:val="000000" w:themeColor="text1"/>
          </w:rPr>
          <w:t>Ε.</w:t>
        </w:r>
        <w:r w:rsidR="00112095" w:rsidRPr="00112095">
          <w:rPr>
            <w:rFonts w:ascii="Times New Roman" w:hAnsi="Times New Roman" w:cs="Times New Roman"/>
            <w:color w:val="000000" w:themeColor="text1"/>
          </w:rPr>
          <w:t xml:space="preserve"> </w:t>
        </w:r>
        <w:r w:rsidR="00112095" w:rsidRPr="5481E65C">
          <w:rPr>
            <w:rFonts w:ascii="Times New Roman" w:hAnsi="Times New Roman" w:cs="Times New Roman"/>
            <w:i/>
            <w:iCs/>
            <w:color w:val="000000" w:themeColor="text1"/>
          </w:rPr>
          <w:t>Πρεβεδούρου</w:t>
        </w:r>
        <w:r w:rsidR="00112095" w:rsidRPr="00112095">
          <w:rPr>
            <w:rFonts w:ascii="Times New Roman" w:hAnsi="Times New Roman" w:cs="Times New Roman"/>
            <w:color w:val="000000" w:themeColor="text1"/>
          </w:rPr>
          <w:t>, Προβλήματα συμμόρφωσης της Διοίκησης στις δικαστικές αποφάσεις: διοικητική δυστροπία ή δικαστικός μαξιμαλισμός;</w:t>
        </w:r>
      </w:hyperlink>
      <w:r w:rsidR="00112095">
        <w:rPr>
          <w:rFonts w:ascii="Times New Roman" w:hAnsi="Times New Roman" w:cs="Times New Roman"/>
          <w:color w:val="000000" w:themeColor="text1"/>
        </w:rPr>
        <w:t xml:space="preserve"> </w:t>
      </w:r>
      <w:r w:rsidR="00112095" w:rsidRPr="00112095">
        <w:rPr>
          <w:rFonts w:ascii="Times New Roman" w:hAnsi="Times New Roman" w:cs="Times New Roman"/>
          <w:color w:val="000000" w:themeColor="text1"/>
        </w:rPr>
        <w:t>σε: Εταιρεία Διοικητικών Μελετών, Τόμος εις μνήμην Καθηγήτριας Δήμητρας Κοντόγιωργα-Θεοχαροπούλου, 2020, σ. 123</w:t>
      </w:r>
      <w:r w:rsidR="00112095">
        <w:rPr>
          <w:rFonts w:ascii="Times New Roman" w:hAnsi="Times New Roman" w:cs="Times New Roman"/>
          <w:color w:val="000000" w:themeColor="text1"/>
        </w:rPr>
        <w:t>.</w:t>
      </w:r>
    </w:p>
  </w:footnote>
  <w:footnote w:id="20">
    <w:p w14:paraId="072E8C48" w14:textId="77777777" w:rsidR="00596E61" w:rsidRPr="00E14CAD" w:rsidRDefault="00596E61" w:rsidP="00E14CAD">
      <w:pPr>
        <w:pStyle w:val="a9"/>
        <w:jc w:val="both"/>
        <w:rPr>
          <w:rFonts w:ascii="Times New Roman" w:hAnsi="Times New Roman" w:cs="Times New Roman"/>
          <w:color w:val="000000" w:themeColor="text1"/>
        </w:rPr>
      </w:pPr>
      <w:r w:rsidRPr="00E14CAD">
        <w:rPr>
          <w:rStyle w:val="af8"/>
          <w:rFonts w:ascii="Times New Roman" w:hAnsi="Times New Roman" w:cs="Times New Roman"/>
          <w:color w:val="000000" w:themeColor="text1"/>
        </w:rPr>
        <w:footnoteRef/>
      </w:r>
      <w:r w:rsidRPr="00E14CAD">
        <w:rPr>
          <w:rFonts w:ascii="Times New Roman" w:hAnsi="Times New Roman" w:cs="Times New Roman"/>
          <w:color w:val="000000" w:themeColor="text1"/>
        </w:rPr>
        <w:t xml:space="preserve"> </w:t>
      </w:r>
      <w:r w:rsidR="00E14CAD" w:rsidRPr="00E14CAD">
        <w:rPr>
          <w:rFonts w:ascii="Times New Roman" w:hAnsi="Times New Roman" w:cs="Times New Roman"/>
          <w:color w:val="000000" w:themeColor="text1"/>
        </w:rPr>
        <w:t>Πρακτικά Συμβουλίου Συμμόρφωσης 11/2022, 15/2023, 19/2023, 14/2024 και 3/2025.</w:t>
      </w:r>
      <w:r w:rsidR="00E14CAD">
        <w:rPr>
          <w:rFonts w:ascii="Times New Roman" w:hAnsi="Times New Roman" w:cs="Times New Roman"/>
          <w:color w:val="000000" w:themeColor="text1"/>
        </w:rPr>
        <w:t xml:space="preserve"> Με το τελευταίο Πρακτικό, το Τριμελές Συμβούλιο Συμμόρφωσης εξέθεσε με σαφήνεια και πληρότητα την αρμοδιότητά του και τη φύση των αποφάσεών του. </w:t>
      </w:r>
      <w:r w:rsidR="00E14CAD" w:rsidRPr="00E14CAD">
        <w:rPr>
          <w:rFonts w:ascii="Times New Roman" w:hAnsi="Times New Roman" w:cs="Times New Roman"/>
          <w:color w:val="000000" w:themeColor="text1"/>
          <w:shd w:val="clear" w:color="auto" w:fill="FFFFFF"/>
        </w:rPr>
        <w:t>Εφόσον διαπιστωθεί ότι η Διοίκηση αρνείται να συμμορφωθεί προς δικαστική απόφαση ή ότι η συμμόρφωσή της είναι ελλιπής ή πλημμελής, το Συμβούλιο Συμμόρφωσης, σύμφωνα και με τη σχετική νομολογία του ΕΔΔΑ επί του θέματος, έχει εξουσία να διατάξει επιτακτικώς τη Διοίκηση να συμμορφωθεί εντός τασσομένης εύλογης προθεσμίας προς τη δικαστική απόφαση, προσδιορίζοντας δεσμευτικώς τις δέουσες προς τούτο ενέργειες, ενώ η υποχρέωση της Διοίκησης προς συμμόρφωση και εκτέλεση παραμένει ακέραια και μετά την καταβολή του τυχόν καταλογισθέντος</w:t>
      </w:r>
      <w:r w:rsidR="00065D54">
        <w:rPr>
          <w:rFonts w:ascii="Times New Roman" w:hAnsi="Times New Roman" w:cs="Times New Roman"/>
          <w:color w:val="000000" w:themeColor="text1"/>
          <w:shd w:val="clear" w:color="auto" w:fill="FFFFFF"/>
        </w:rPr>
        <w:t xml:space="preserve"> </w:t>
      </w:r>
      <w:r w:rsidR="00E14CAD" w:rsidRPr="00E14CAD">
        <w:rPr>
          <w:rFonts w:ascii="Times New Roman" w:hAnsi="Times New Roman" w:cs="Times New Roman"/>
          <w:color w:val="000000" w:themeColor="text1"/>
          <w:shd w:val="clear" w:color="auto" w:fill="FFFFFF"/>
        </w:rPr>
        <w:t>εις βάρος της χρηματικού ποσού</w:t>
      </w:r>
    </w:p>
  </w:footnote>
  <w:footnote w:id="21">
    <w:p w14:paraId="1FC8554A" w14:textId="60509F4D" w:rsidR="002B3E78" w:rsidRDefault="00764E05">
      <w:pPr>
        <w:pStyle w:val="a9"/>
        <w:jc w:val="both"/>
      </w:pPr>
      <w:r w:rsidRPr="0036465A">
        <w:rPr>
          <w:rStyle w:val="ae"/>
          <w:rFonts w:ascii="Times New Roman" w:hAnsi="Times New Roman" w:cs="Times New Roman"/>
          <w:vertAlign w:val="superscript"/>
        </w:rPr>
        <w:footnoteRef/>
      </w:r>
      <w:r w:rsidRPr="0036465A">
        <w:rPr>
          <w:rFonts w:ascii="Times New Roman" w:hAnsi="Times New Roman" w:cs="Times New Roman"/>
        </w:rPr>
        <w:t xml:space="preserve"> </w:t>
      </w:r>
      <w:r w:rsidRPr="0036465A">
        <w:rPr>
          <w:rFonts w:ascii="Times New Roman" w:hAnsi="Times New Roman" w:cs="Times New Roman"/>
        </w:rPr>
        <w:t>Σημειώνεται ότι το 2016 είχε προταθεί η εκ βάθρων ανασυγκρότηση της Δικαιοσύνης με την εισαγωγή του συστήματος της ενιαίας δικαιοδοσίας και με ένα και μόνο Ανώτατο Δικαστήριο, προς αποφυγή των συγκρούσεων δικαιοδοσίας και κυρίως προς εξυπηρέτηση των διαδίκων (βλ. Καθημερινή 5 Ιουνίου 2016, Ένα καινοτόμο Σύνταγμα για την Ελλάδα [Ν. Αλιβιζάτος, Π. Βουρλούμης, Γ. Γεραπετρίτης, Γ. Κτιστάκις, Στ. Μάνος</w:t>
      </w:r>
      <w:r>
        <w:rPr>
          <w:rFonts w:ascii="Times New Roman" w:hAnsi="Times New Roman" w:cs="Times New Roman"/>
        </w:rPr>
        <w:t>, Φ. Σπυρόπουλος])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E17D4"/>
    <w:multiLevelType w:val="multilevel"/>
    <w:tmpl w:val="B0461F4A"/>
    <w:lvl w:ilvl="0">
      <w:start w:val="1"/>
      <w:numFmt w:val="lowerRoman"/>
      <w:lvlText w:val="%1."/>
      <w:lvlJc w:val="left"/>
      <w:pPr>
        <w:ind w:left="720" w:hanging="72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75977965"/>
    <w:multiLevelType w:val="multilevel"/>
    <w:tmpl w:val="EAB8274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488551592">
    <w:abstractNumId w:val="0"/>
  </w:num>
  <w:num w:numId="2" w16cid:durableId="5353109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E78"/>
    <w:rsid w:val="00006434"/>
    <w:rsid w:val="00065D54"/>
    <w:rsid w:val="0007626A"/>
    <w:rsid w:val="001020F4"/>
    <w:rsid w:val="00112095"/>
    <w:rsid w:val="001622AB"/>
    <w:rsid w:val="001954F1"/>
    <w:rsid w:val="001B319D"/>
    <w:rsid w:val="001D15F6"/>
    <w:rsid w:val="002B3E78"/>
    <w:rsid w:val="002C6EB2"/>
    <w:rsid w:val="00326E89"/>
    <w:rsid w:val="0036465A"/>
    <w:rsid w:val="003A5C13"/>
    <w:rsid w:val="003F50CE"/>
    <w:rsid w:val="00415EF6"/>
    <w:rsid w:val="004F39DD"/>
    <w:rsid w:val="005349CB"/>
    <w:rsid w:val="00552F11"/>
    <w:rsid w:val="00596E61"/>
    <w:rsid w:val="005A0EC7"/>
    <w:rsid w:val="005E5C06"/>
    <w:rsid w:val="0064080E"/>
    <w:rsid w:val="00674D04"/>
    <w:rsid w:val="006C1C7D"/>
    <w:rsid w:val="00722535"/>
    <w:rsid w:val="007424E9"/>
    <w:rsid w:val="00756C0E"/>
    <w:rsid w:val="00764E05"/>
    <w:rsid w:val="00766FA8"/>
    <w:rsid w:val="007B14F2"/>
    <w:rsid w:val="007C62DB"/>
    <w:rsid w:val="007D3E36"/>
    <w:rsid w:val="008610EA"/>
    <w:rsid w:val="009566BD"/>
    <w:rsid w:val="0096023D"/>
    <w:rsid w:val="009D1BD6"/>
    <w:rsid w:val="00A545BD"/>
    <w:rsid w:val="00B14613"/>
    <w:rsid w:val="00B52880"/>
    <w:rsid w:val="00BA65A7"/>
    <w:rsid w:val="00C3381B"/>
    <w:rsid w:val="00E14CAD"/>
    <w:rsid w:val="00F077BF"/>
    <w:rsid w:val="00F24DA7"/>
    <w:rsid w:val="00F25574"/>
    <w:rsid w:val="00FB54C0"/>
    <w:rsid w:val="5481E65C"/>
  </w:rsids>
  <m:mathPr>
    <m:mathFont m:val="Cambria Math"/>
    <m:brkBin m:val="before"/>
    <m:brkBinSub m:val="--"/>
    <m:smallFrac m:val="0"/>
    <m:dispDef/>
    <m:lMargin m:val="0"/>
    <m:rMargin m:val="0"/>
    <m:defJc m:val="centerGroup"/>
    <m:wrapIndent m:val="1440"/>
    <m:intLim m:val="subSup"/>
    <m:naryLim m:val="undOvr"/>
  </m:mathPr>
  <w:themeFontLang w:val="el-GR"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34596001"/>
  <w15:docId w15:val="{33E8E174-315B-1147-9CC9-104C28E7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l-G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76" w:lineRule="auto"/>
    </w:pPr>
  </w:style>
  <w:style w:type="paragraph" w:styleId="1">
    <w:name w:val="heading 1"/>
    <w:basedOn w:val="a"/>
    <w:link w:val="1Char"/>
    <w:uiPriority w:val="9"/>
    <w:qFormat/>
    <w:rsid w:val="00C349C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link w:val="2Char"/>
    <w:uiPriority w:val="9"/>
    <w:semiHidden/>
    <w:unhideWhenUsed/>
    <w:qFormat/>
    <w:rsid w:val="00C349C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link w:val="3Char"/>
    <w:uiPriority w:val="9"/>
    <w:semiHidden/>
    <w:unhideWhenUsed/>
    <w:qFormat/>
    <w:rsid w:val="00C349C3"/>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link w:val="4Char"/>
    <w:uiPriority w:val="9"/>
    <w:semiHidden/>
    <w:unhideWhenUsed/>
    <w:qFormat/>
    <w:rsid w:val="00C349C3"/>
    <w:pPr>
      <w:keepNext/>
      <w:keepLines/>
      <w:spacing w:before="80" w:after="40"/>
      <w:outlineLvl w:val="3"/>
    </w:pPr>
    <w:rPr>
      <w:rFonts w:eastAsiaTheme="majorEastAsia" w:cstheme="majorBidi"/>
      <w:i/>
      <w:iCs/>
      <w:color w:val="0F4761" w:themeColor="accent1" w:themeShade="BF"/>
    </w:rPr>
  </w:style>
  <w:style w:type="paragraph" w:styleId="5">
    <w:name w:val="heading 5"/>
    <w:basedOn w:val="a"/>
    <w:link w:val="5Char"/>
    <w:uiPriority w:val="9"/>
    <w:semiHidden/>
    <w:unhideWhenUsed/>
    <w:qFormat/>
    <w:rsid w:val="00C349C3"/>
    <w:pPr>
      <w:keepNext/>
      <w:keepLines/>
      <w:spacing w:before="80" w:after="40"/>
      <w:outlineLvl w:val="4"/>
    </w:pPr>
    <w:rPr>
      <w:rFonts w:eastAsiaTheme="majorEastAsia" w:cstheme="majorBidi"/>
      <w:color w:val="0F4761" w:themeColor="accent1" w:themeShade="BF"/>
    </w:rPr>
  </w:style>
  <w:style w:type="paragraph" w:styleId="6">
    <w:name w:val="heading 6"/>
    <w:basedOn w:val="a"/>
    <w:link w:val="6Char"/>
    <w:uiPriority w:val="9"/>
    <w:semiHidden/>
    <w:unhideWhenUsed/>
    <w:qFormat/>
    <w:rsid w:val="00C349C3"/>
    <w:pPr>
      <w:keepNext/>
      <w:keepLines/>
      <w:spacing w:before="40" w:after="0"/>
      <w:outlineLvl w:val="5"/>
    </w:pPr>
    <w:rPr>
      <w:rFonts w:eastAsiaTheme="majorEastAsia" w:cstheme="majorBidi"/>
      <w:i/>
      <w:iCs/>
      <w:color w:val="595959" w:themeColor="text1" w:themeTint="A6"/>
    </w:rPr>
  </w:style>
  <w:style w:type="paragraph" w:styleId="7">
    <w:name w:val="heading 7"/>
    <w:basedOn w:val="a"/>
    <w:link w:val="7Char"/>
    <w:uiPriority w:val="9"/>
    <w:semiHidden/>
    <w:unhideWhenUsed/>
    <w:qFormat/>
    <w:rsid w:val="00C349C3"/>
    <w:pPr>
      <w:keepNext/>
      <w:keepLines/>
      <w:spacing w:before="40" w:after="0"/>
      <w:outlineLvl w:val="6"/>
    </w:pPr>
    <w:rPr>
      <w:rFonts w:eastAsiaTheme="majorEastAsia" w:cstheme="majorBidi"/>
      <w:color w:val="595959" w:themeColor="text1" w:themeTint="A6"/>
    </w:rPr>
  </w:style>
  <w:style w:type="paragraph" w:styleId="8">
    <w:name w:val="heading 8"/>
    <w:basedOn w:val="a"/>
    <w:link w:val="8Char"/>
    <w:uiPriority w:val="9"/>
    <w:semiHidden/>
    <w:unhideWhenUsed/>
    <w:qFormat/>
    <w:rsid w:val="00C349C3"/>
    <w:pPr>
      <w:keepNext/>
      <w:keepLines/>
      <w:spacing w:after="0"/>
      <w:outlineLvl w:val="7"/>
    </w:pPr>
    <w:rPr>
      <w:rFonts w:eastAsiaTheme="majorEastAsia" w:cstheme="majorBidi"/>
      <w:i/>
      <w:iCs/>
      <w:color w:val="272727" w:themeColor="text1" w:themeTint="D8"/>
    </w:rPr>
  </w:style>
  <w:style w:type="paragraph" w:styleId="9">
    <w:name w:val="heading 9"/>
    <w:basedOn w:val="a"/>
    <w:link w:val="9Char"/>
    <w:uiPriority w:val="9"/>
    <w:semiHidden/>
    <w:unhideWhenUsed/>
    <w:qFormat/>
    <w:rsid w:val="00C349C3"/>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qFormat/>
    <w:rsid w:val="00C349C3"/>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qFormat/>
    <w:rsid w:val="00C349C3"/>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qFormat/>
    <w:rsid w:val="00C349C3"/>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qFormat/>
    <w:rsid w:val="00C349C3"/>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qFormat/>
    <w:rsid w:val="00C349C3"/>
    <w:rPr>
      <w:rFonts w:eastAsiaTheme="majorEastAsia" w:cstheme="majorBidi"/>
      <w:color w:val="0F4761" w:themeColor="accent1" w:themeShade="BF"/>
    </w:rPr>
  </w:style>
  <w:style w:type="character" w:customStyle="1" w:styleId="6Char">
    <w:name w:val="Επικεφαλίδα 6 Char"/>
    <w:basedOn w:val="a0"/>
    <w:link w:val="6"/>
    <w:uiPriority w:val="9"/>
    <w:semiHidden/>
    <w:qFormat/>
    <w:rsid w:val="00C349C3"/>
    <w:rPr>
      <w:rFonts w:eastAsiaTheme="majorEastAsia" w:cstheme="majorBidi"/>
      <w:i/>
      <w:iCs/>
      <w:color w:val="595959" w:themeColor="text1" w:themeTint="A6"/>
    </w:rPr>
  </w:style>
  <w:style w:type="character" w:customStyle="1" w:styleId="7Char">
    <w:name w:val="Επικεφαλίδα 7 Char"/>
    <w:basedOn w:val="a0"/>
    <w:link w:val="7"/>
    <w:uiPriority w:val="9"/>
    <w:semiHidden/>
    <w:qFormat/>
    <w:rsid w:val="00C349C3"/>
    <w:rPr>
      <w:rFonts w:eastAsiaTheme="majorEastAsia" w:cstheme="majorBidi"/>
      <w:color w:val="595959" w:themeColor="text1" w:themeTint="A6"/>
    </w:rPr>
  </w:style>
  <w:style w:type="character" w:customStyle="1" w:styleId="8Char">
    <w:name w:val="Επικεφαλίδα 8 Char"/>
    <w:basedOn w:val="a0"/>
    <w:link w:val="8"/>
    <w:uiPriority w:val="9"/>
    <w:semiHidden/>
    <w:qFormat/>
    <w:rsid w:val="00C349C3"/>
    <w:rPr>
      <w:rFonts w:eastAsiaTheme="majorEastAsia" w:cstheme="majorBidi"/>
      <w:i/>
      <w:iCs/>
      <w:color w:val="272727" w:themeColor="text1" w:themeTint="D8"/>
    </w:rPr>
  </w:style>
  <w:style w:type="character" w:customStyle="1" w:styleId="9Char">
    <w:name w:val="Επικεφαλίδα 9 Char"/>
    <w:basedOn w:val="a0"/>
    <w:link w:val="9"/>
    <w:uiPriority w:val="9"/>
    <w:semiHidden/>
    <w:qFormat/>
    <w:rsid w:val="00C349C3"/>
    <w:rPr>
      <w:rFonts w:eastAsiaTheme="majorEastAsia" w:cstheme="majorBidi"/>
      <w:color w:val="272727" w:themeColor="text1" w:themeTint="D8"/>
    </w:rPr>
  </w:style>
  <w:style w:type="character" w:customStyle="1" w:styleId="Char">
    <w:name w:val="Τίτλος Char"/>
    <w:basedOn w:val="a0"/>
    <w:link w:val="a3"/>
    <w:uiPriority w:val="10"/>
    <w:qFormat/>
    <w:rsid w:val="00C349C3"/>
    <w:rPr>
      <w:rFonts w:asciiTheme="majorHAnsi" w:eastAsiaTheme="majorEastAsia" w:hAnsiTheme="majorHAnsi" w:cstheme="majorBidi"/>
      <w:spacing w:val="-10"/>
      <w:kern w:val="2"/>
      <w:sz w:val="56"/>
      <w:szCs w:val="56"/>
    </w:rPr>
  </w:style>
  <w:style w:type="character" w:customStyle="1" w:styleId="Char0">
    <w:name w:val="Απόσπασμα Char"/>
    <w:basedOn w:val="a0"/>
    <w:link w:val="a4"/>
    <w:uiPriority w:val="11"/>
    <w:qFormat/>
    <w:rsid w:val="00C349C3"/>
    <w:rPr>
      <w:rFonts w:eastAsiaTheme="majorEastAsia" w:cstheme="majorBidi"/>
      <w:color w:val="595959" w:themeColor="text1" w:themeTint="A6"/>
      <w:spacing w:val="15"/>
      <w:sz w:val="28"/>
      <w:szCs w:val="28"/>
    </w:rPr>
  </w:style>
  <w:style w:type="character" w:customStyle="1" w:styleId="Char1">
    <w:name w:val="Έντονο απόσπ. Char"/>
    <w:basedOn w:val="a0"/>
    <w:link w:val="a5"/>
    <w:uiPriority w:val="29"/>
    <w:qFormat/>
    <w:rsid w:val="00C349C3"/>
    <w:rPr>
      <w:i/>
      <w:iCs/>
      <w:color w:val="404040" w:themeColor="text1" w:themeTint="BF"/>
    </w:rPr>
  </w:style>
  <w:style w:type="character" w:styleId="a6">
    <w:name w:val="Intense Emphasis"/>
    <w:basedOn w:val="a0"/>
    <w:uiPriority w:val="21"/>
    <w:qFormat/>
    <w:rsid w:val="00C349C3"/>
    <w:rPr>
      <w:i/>
      <w:iCs/>
      <w:color w:val="0F4761" w:themeColor="accent1" w:themeShade="BF"/>
    </w:rPr>
  </w:style>
  <w:style w:type="character" w:customStyle="1" w:styleId="Char2">
    <w:name w:val="Υποσέλιδο Char"/>
    <w:basedOn w:val="a0"/>
    <w:link w:val="a7"/>
    <w:uiPriority w:val="30"/>
    <w:qFormat/>
    <w:rsid w:val="00C349C3"/>
    <w:rPr>
      <w:i/>
      <w:iCs/>
      <w:color w:val="0F4761" w:themeColor="accent1" w:themeShade="BF"/>
    </w:rPr>
  </w:style>
  <w:style w:type="character" w:styleId="a8">
    <w:name w:val="Intense Reference"/>
    <w:basedOn w:val="a0"/>
    <w:uiPriority w:val="32"/>
    <w:qFormat/>
    <w:rsid w:val="00C349C3"/>
    <w:rPr>
      <w:b/>
      <w:bCs/>
      <w:smallCaps/>
      <w:color w:val="0F4761" w:themeColor="accent1" w:themeShade="BF"/>
      <w:spacing w:val="5"/>
    </w:rPr>
  </w:style>
  <w:style w:type="character" w:customStyle="1" w:styleId="Char10">
    <w:name w:val="Κείμενο υποσημείωσης Char1"/>
    <w:basedOn w:val="a0"/>
    <w:link w:val="a9"/>
    <w:uiPriority w:val="99"/>
    <w:qFormat/>
    <w:rsid w:val="00817D3B"/>
  </w:style>
  <w:style w:type="character" w:styleId="aa">
    <w:name w:val="page number"/>
    <w:basedOn w:val="a0"/>
    <w:uiPriority w:val="99"/>
    <w:semiHidden/>
    <w:unhideWhenUsed/>
    <w:qFormat/>
    <w:rsid w:val="00817D3B"/>
  </w:style>
  <w:style w:type="character" w:customStyle="1" w:styleId="Char3">
    <w:name w:val="Κείμενο υποσημείωσης Char"/>
    <w:basedOn w:val="a0"/>
    <w:uiPriority w:val="99"/>
    <w:semiHidden/>
    <w:qFormat/>
    <w:rsid w:val="00407BC5"/>
    <w:rPr>
      <w:sz w:val="20"/>
      <w:szCs w:val="20"/>
    </w:rPr>
  </w:style>
  <w:style w:type="character" w:customStyle="1" w:styleId="ab">
    <w:name w:val="Αγκίστρωση υποσημείωσης"/>
    <w:rPr>
      <w:vertAlign w:val="superscript"/>
    </w:rPr>
  </w:style>
  <w:style w:type="character" w:customStyle="1" w:styleId="FootnoteCharacters">
    <w:name w:val="Footnote Characters"/>
    <w:basedOn w:val="a0"/>
    <w:uiPriority w:val="99"/>
    <w:semiHidden/>
    <w:unhideWhenUsed/>
    <w:qFormat/>
    <w:rsid w:val="00407BC5"/>
    <w:rPr>
      <w:vertAlign w:val="superscript"/>
    </w:rPr>
  </w:style>
  <w:style w:type="character" w:customStyle="1" w:styleId="apple-converted-space">
    <w:name w:val="apple-converted-space"/>
    <w:basedOn w:val="a0"/>
    <w:qFormat/>
    <w:rsid w:val="00407BC5"/>
  </w:style>
  <w:style w:type="character" w:styleId="ac">
    <w:name w:val="Emphasis"/>
    <w:basedOn w:val="a0"/>
    <w:uiPriority w:val="20"/>
    <w:qFormat/>
    <w:rsid w:val="00407BC5"/>
    <w:rPr>
      <w:i/>
      <w:iCs/>
    </w:rPr>
  </w:style>
  <w:style w:type="character" w:styleId="ad">
    <w:name w:val="Strong"/>
    <w:basedOn w:val="a0"/>
    <w:uiPriority w:val="22"/>
    <w:qFormat/>
    <w:rsid w:val="00407BC5"/>
    <w:rPr>
      <w:b/>
      <w:bCs/>
    </w:rPr>
  </w:style>
  <w:style w:type="character" w:customStyle="1" w:styleId="ae">
    <w:name w:val="Χαρακτήρες υποσημείωσης"/>
    <w:qFormat/>
  </w:style>
  <w:style w:type="character" w:customStyle="1" w:styleId="af">
    <w:name w:val="Αγκίστρωση σημειώσεων τέλους"/>
    <w:rPr>
      <w:vertAlign w:val="superscript"/>
    </w:rPr>
  </w:style>
  <w:style w:type="character" w:customStyle="1" w:styleId="af0">
    <w:name w:val="Χαρακτήρες σημείωσης τέλους"/>
    <w:qFormat/>
  </w:style>
  <w:style w:type="paragraph" w:customStyle="1" w:styleId="af1">
    <w:name w:val="Επικεφαλίδα"/>
    <w:basedOn w:val="a"/>
    <w:next w:val="af2"/>
    <w:qFormat/>
    <w:pPr>
      <w:keepNext/>
      <w:spacing w:before="240" w:after="120"/>
    </w:pPr>
    <w:rPr>
      <w:rFonts w:ascii="Liberation Sans" w:eastAsia="DejaVu Sans" w:hAnsi="Liberation Sans" w:cs="FreeSans"/>
      <w:sz w:val="28"/>
      <w:szCs w:val="28"/>
    </w:rPr>
  </w:style>
  <w:style w:type="paragraph" w:styleId="af2">
    <w:name w:val="Body Text"/>
    <w:basedOn w:val="a"/>
    <w:pPr>
      <w:spacing w:after="140"/>
    </w:pPr>
  </w:style>
  <w:style w:type="paragraph" w:styleId="af3">
    <w:name w:val="List"/>
    <w:basedOn w:val="af2"/>
    <w:rPr>
      <w:rFonts w:cs="FreeSans"/>
    </w:rPr>
  </w:style>
  <w:style w:type="paragraph" w:styleId="af4">
    <w:name w:val="caption"/>
    <w:basedOn w:val="a"/>
    <w:qFormat/>
    <w:pPr>
      <w:suppressLineNumbers/>
      <w:spacing w:before="120" w:after="120"/>
    </w:pPr>
    <w:rPr>
      <w:rFonts w:cs="FreeSans"/>
      <w:i/>
      <w:iCs/>
    </w:rPr>
  </w:style>
  <w:style w:type="paragraph" w:customStyle="1" w:styleId="af5">
    <w:name w:val="Ευρετήριο"/>
    <w:basedOn w:val="a"/>
    <w:qFormat/>
    <w:pPr>
      <w:suppressLineNumbers/>
    </w:pPr>
    <w:rPr>
      <w:rFonts w:cs="FreeSans"/>
    </w:rPr>
  </w:style>
  <w:style w:type="paragraph" w:styleId="a3">
    <w:name w:val="Title"/>
    <w:basedOn w:val="a"/>
    <w:link w:val="Char"/>
    <w:uiPriority w:val="10"/>
    <w:qFormat/>
    <w:rsid w:val="00C349C3"/>
    <w:pPr>
      <w:spacing w:after="80" w:line="240" w:lineRule="auto"/>
      <w:contextualSpacing/>
    </w:pPr>
    <w:rPr>
      <w:rFonts w:asciiTheme="majorHAnsi" w:eastAsiaTheme="majorEastAsia" w:hAnsiTheme="majorHAnsi" w:cstheme="majorBidi"/>
      <w:spacing w:val="-10"/>
      <w:sz w:val="56"/>
      <w:szCs w:val="56"/>
    </w:rPr>
  </w:style>
  <w:style w:type="paragraph" w:styleId="af6">
    <w:name w:val="Subtitle"/>
    <w:basedOn w:val="a"/>
    <w:uiPriority w:val="11"/>
    <w:qFormat/>
    <w:rsid w:val="00C349C3"/>
    <w:rPr>
      <w:rFonts w:eastAsiaTheme="majorEastAsia" w:cstheme="majorBidi"/>
      <w:color w:val="595959" w:themeColor="text1" w:themeTint="A6"/>
      <w:spacing w:val="15"/>
      <w:sz w:val="28"/>
      <w:szCs w:val="28"/>
    </w:rPr>
  </w:style>
  <w:style w:type="paragraph" w:styleId="a4">
    <w:name w:val="Quote"/>
    <w:basedOn w:val="a"/>
    <w:link w:val="Char0"/>
    <w:uiPriority w:val="29"/>
    <w:qFormat/>
    <w:rsid w:val="00C349C3"/>
    <w:pPr>
      <w:spacing w:before="160"/>
      <w:jc w:val="center"/>
    </w:pPr>
    <w:rPr>
      <w:i/>
      <w:iCs/>
      <w:color w:val="404040" w:themeColor="text1" w:themeTint="BF"/>
    </w:rPr>
  </w:style>
  <w:style w:type="paragraph" w:styleId="af7">
    <w:name w:val="List Paragraph"/>
    <w:basedOn w:val="a"/>
    <w:uiPriority w:val="34"/>
    <w:qFormat/>
    <w:rsid w:val="00C349C3"/>
    <w:pPr>
      <w:ind w:left="720"/>
      <w:contextualSpacing/>
    </w:pPr>
  </w:style>
  <w:style w:type="paragraph" w:styleId="a5">
    <w:name w:val="Intense Quote"/>
    <w:basedOn w:val="a"/>
    <w:link w:val="Char1"/>
    <w:uiPriority w:val="30"/>
    <w:qFormat/>
    <w:rsid w:val="00C349C3"/>
    <w:pPr>
      <w:pBdr>
        <w:top w:val="single" w:sz="4" w:space="10" w:color="0F4761"/>
        <w:bottom w:val="single" w:sz="4" w:space="10" w:color="0F4761"/>
      </w:pBdr>
      <w:spacing w:before="360" w:after="360"/>
      <w:ind w:left="864" w:right="864"/>
      <w:jc w:val="center"/>
    </w:pPr>
    <w:rPr>
      <w:i/>
      <w:iCs/>
      <w:color w:val="0F4761" w:themeColor="accent1" w:themeShade="BF"/>
    </w:rPr>
  </w:style>
  <w:style w:type="paragraph" w:styleId="a7">
    <w:name w:val="footer"/>
    <w:basedOn w:val="a"/>
    <w:link w:val="Char2"/>
    <w:uiPriority w:val="99"/>
    <w:unhideWhenUsed/>
    <w:rsid w:val="00817D3B"/>
    <w:pPr>
      <w:tabs>
        <w:tab w:val="center" w:pos="4153"/>
        <w:tab w:val="right" w:pos="8306"/>
      </w:tabs>
      <w:spacing w:after="0" w:line="240" w:lineRule="auto"/>
    </w:pPr>
  </w:style>
  <w:style w:type="paragraph" w:styleId="a9">
    <w:name w:val="footnote text"/>
    <w:basedOn w:val="a"/>
    <w:link w:val="Char10"/>
    <w:uiPriority w:val="99"/>
    <w:unhideWhenUsed/>
    <w:rsid w:val="00407BC5"/>
    <w:pPr>
      <w:spacing w:after="0" w:line="240" w:lineRule="auto"/>
    </w:pPr>
    <w:rPr>
      <w:sz w:val="20"/>
      <w:szCs w:val="20"/>
    </w:rPr>
  </w:style>
  <w:style w:type="character" w:styleId="af8">
    <w:name w:val="footnote reference"/>
    <w:basedOn w:val="a0"/>
    <w:uiPriority w:val="99"/>
    <w:semiHidden/>
    <w:unhideWhenUsed/>
    <w:rsid w:val="00766FA8"/>
    <w:rPr>
      <w:vertAlign w:val="superscript"/>
    </w:rPr>
  </w:style>
  <w:style w:type="character" w:styleId="-">
    <w:name w:val="Hyperlink"/>
    <w:basedOn w:val="a0"/>
    <w:uiPriority w:val="99"/>
    <w:unhideWhenUsed/>
    <w:rsid w:val="00FB54C0"/>
    <w:rPr>
      <w:color w:val="467886" w:themeColor="hyperlink"/>
      <w:u w:val="single"/>
    </w:rPr>
  </w:style>
  <w:style w:type="character" w:styleId="af9">
    <w:name w:val="Unresolved Mention"/>
    <w:basedOn w:val="a0"/>
    <w:uiPriority w:val="99"/>
    <w:semiHidden/>
    <w:unhideWhenUsed/>
    <w:rsid w:val="00FB54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sakkoulas-online.gr/search/simple/reader/b52d4963ab2882691b19/" TargetMode="External"/><Relationship Id="rId1" Type="http://schemas.openxmlformats.org/officeDocument/2006/relationships/hyperlink" Target="http://www.prevedourou.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1E0163-FB99-4B47-9722-15BCEFD6A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2875</Words>
  <Characters>15525</Characters>
  <Application>Microsoft Office Word</Application>
  <DocSecurity>0</DocSecurity>
  <Lines>129</Lines>
  <Paragraphs>36</Paragraphs>
  <ScaleCrop>false</ScaleCrop>
  <Company/>
  <LinksUpToDate>false</LinksUpToDate>
  <CharactersWithSpaces>18364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Prevedourou</dc:creator>
  <dc:description/>
  <cp:lastModifiedBy>Vassiliki Marouli</cp:lastModifiedBy>
  <cp:revision>7</cp:revision>
  <dcterms:created xsi:type="dcterms:W3CDTF">2025-03-01T21:00:00Z</dcterms:created>
  <dcterms:modified xsi:type="dcterms:W3CDTF">2025-05-27T14:30:00Z</dcterms:modified>
  <dc:language>el-GR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