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B02EB" w14:textId="77777777" w:rsidR="000D1D78" w:rsidRPr="009919DD" w:rsidRDefault="000D1D78" w:rsidP="00A55F30">
      <w:pPr>
        <w:spacing w:line="360" w:lineRule="auto"/>
        <w:jc w:val="center"/>
        <w:outlineLvl w:val="2"/>
        <w:rPr>
          <w:rFonts w:ascii="Times New Roman" w:eastAsia="Times New Roman" w:hAnsi="Times New Roman" w:cs="Times New Roman"/>
          <w:b/>
          <w:bCs/>
          <w:sz w:val="24"/>
          <w:szCs w:val="24"/>
          <w:lang w:eastAsia="el-GR"/>
        </w:rPr>
      </w:pPr>
      <w:r w:rsidRPr="009919DD">
        <w:rPr>
          <w:rFonts w:ascii="Times New Roman" w:eastAsia="Times New Roman" w:hAnsi="Times New Roman" w:cs="Times New Roman"/>
          <w:b/>
          <w:bCs/>
          <w:sz w:val="24"/>
          <w:szCs w:val="24"/>
          <w:lang w:eastAsia="el-GR"/>
        </w:rPr>
        <w:t>Άρθρο 13 Θρησκευτική ελευθερία</w:t>
      </w:r>
    </w:p>
    <w:p w14:paraId="4E79A8E7" w14:textId="77777777" w:rsidR="000D1D78" w:rsidRDefault="000D1D78" w:rsidP="000D1D78">
      <w:pPr>
        <w:spacing w:line="360" w:lineRule="auto"/>
        <w:jc w:val="right"/>
        <w:outlineLvl w:val="2"/>
        <w:rPr>
          <w:rFonts w:ascii="Times New Roman" w:eastAsia="Times New Roman" w:hAnsi="Times New Roman" w:cs="Times New Roman"/>
          <w:iCs/>
          <w:sz w:val="24"/>
          <w:szCs w:val="24"/>
          <w:lang w:eastAsia="el-GR"/>
        </w:rPr>
      </w:pPr>
      <w:r w:rsidRPr="000D1D78">
        <w:rPr>
          <w:rFonts w:ascii="Times New Roman" w:eastAsia="Times New Roman" w:hAnsi="Times New Roman" w:cs="Times New Roman"/>
          <w:iCs/>
          <w:sz w:val="24"/>
          <w:szCs w:val="24"/>
          <w:lang w:eastAsia="el-GR"/>
        </w:rPr>
        <w:t xml:space="preserve">Ζωή </w:t>
      </w:r>
      <w:proofErr w:type="spellStart"/>
      <w:r w:rsidRPr="000D1D78">
        <w:rPr>
          <w:rFonts w:ascii="Times New Roman" w:eastAsia="Times New Roman" w:hAnsi="Times New Roman" w:cs="Times New Roman"/>
          <w:iCs/>
          <w:sz w:val="24"/>
          <w:szCs w:val="24"/>
          <w:lang w:eastAsia="el-GR"/>
        </w:rPr>
        <w:t>Καραμήτρου</w:t>
      </w:r>
      <w:proofErr w:type="spellEnd"/>
    </w:p>
    <w:p w14:paraId="3D167EBF" w14:textId="7777EADA" w:rsidR="006D1B3A" w:rsidRPr="000D1D78" w:rsidRDefault="000D1D78" w:rsidP="000D1D78">
      <w:pPr>
        <w:spacing w:line="360" w:lineRule="auto"/>
        <w:jc w:val="right"/>
        <w:outlineLvl w:val="2"/>
        <w:rPr>
          <w:rFonts w:ascii="Times New Roman" w:eastAsia="Times New Roman" w:hAnsi="Times New Roman" w:cs="Times New Roman"/>
          <w:iCs/>
          <w:sz w:val="24"/>
          <w:szCs w:val="24"/>
          <w:lang w:eastAsia="el-GR"/>
        </w:rPr>
      </w:pPr>
      <w:r w:rsidRPr="000D1D78">
        <w:rPr>
          <w:rFonts w:ascii="Times New Roman" w:eastAsia="Times New Roman" w:hAnsi="Times New Roman" w:cs="Times New Roman"/>
          <w:iCs/>
          <w:sz w:val="24"/>
          <w:szCs w:val="24"/>
          <w:lang w:eastAsia="el-GR"/>
        </w:rPr>
        <w:t>Διδάκτωρ Εκκλησιαστικού Δικαίου της Νομικής Σχολής του ΕΚΠΑ, Ν., Δικηγόρος, Ειδική Επιστήμονας στο «Συνήγορο του Πολίτη», Μέλος του Συμβουλίου Διοίκησης της Εθνικής Αρχής Διαφάνειας</w:t>
      </w:r>
    </w:p>
    <w:p w14:paraId="00F404D7" w14:textId="77777777" w:rsidR="000D1D78" w:rsidRDefault="000D1D78" w:rsidP="000D1D78">
      <w:pPr>
        <w:spacing w:line="360" w:lineRule="auto"/>
        <w:jc w:val="both"/>
        <w:outlineLvl w:val="2"/>
        <w:rPr>
          <w:rFonts w:ascii="Times New Roman" w:eastAsia="Times New Roman" w:hAnsi="Times New Roman" w:cs="Times New Roman"/>
          <w:b/>
          <w:bCs/>
          <w:i/>
          <w:sz w:val="24"/>
          <w:szCs w:val="24"/>
          <w:lang w:eastAsia="el-GR"/>
        </w:rPr>
      </w:pPr>
    </w:p>
    <w:p w14:paraId="3D167EC1" w14:textId="2C923B27" w:rsidR="00891189" w:rsidRPr="009919DD" w:rsidRDefault="00891189" w:rsidP="000D1D78">
      <w:pPr>
        <w:spacing w:line="360" w:lineRule="auto"/>
        <w:jc w:val="both"/>
        <w:outlineLvl w:val="2"/>
        <w:rPr>
          <w:rFonts w:ascii="Times New Roman" w:eastAsia="Times New Roman" w:hAnsi="Times New Roman" w:cs="Times New Roman"/>
          <w:b/>
          <w:bCs/>
          <w:i/>
          <w:sz w:val="24"/>
          <w:szCs w:val="24"/>
          <w:lang w:eastAsia="el-GR"/>
        </w:rPr>
      </w:pPr>
      <w:r w:rsidRPr="009919DD">
        <w:rPr>
          <w:rFonts w:ascii="Times New Roman" w:eastAsia="Times New Roman" w:hAnsi="Times New Roman" w:cs="Times New Roman"/>
          <w:b/>
          <w:bCs/>
          <w:i/>
          <w:sz w:val="24"/>
          <w:szCs w:val="24"/>
          <w:lang w:eastAsia="el-GR"/>
        </w:rPr>
        <w:t xml:space="preserve">Άρθρο 13 § 2 </w:t>
      </w:r>
      <w:proofErr w:type="spellStart"/>
      <w:r w:rsidRPr="009919DD">
        <w:rPr>
          <w:rFonts w:ascii="Times New Roman" w:eastAsia="Times New Roman" w:hAnsi="Times New Roman" w:cs="Times New Roman"/>
          <w:b/>
          <w:bCs/>
          <w:i/>
          <w:sz w:val="24"/>
          <w:szCs w:val="24"/>
          <w:lang w:eastAsia="el-GR"/>
        </w:rPr>
        <w:t>εδ</w:t>
      </w:r>
      <w:proofErr w:type="spellEnd"/>
      <w:r w:rsidRPr="009919DD">
        <w:rPr>
          <w:rFonts w:ascii="Times New Roman" w:eastAsia="Times New Roman" w:hAnsi="Times New Roman" w:cs="Times New Roman"/>
          <w:b/>
          <w:bCs/>
          <w:i/>
          <w:sz w:val="24"/>
          <w:szCs w:val="24"/>
          <w:lang w:eastAsia="el-GR"/>
        </w:rPr>
        <w:t>. α’</w:t>
      </w:r>
    </w:p>
    <w:p w14:paraId="3D167EC2" w14:textId="77777777" w:rsidR="00891189" w:rsidRPr="000D1D78" w:rsidRDefault="00891189" w:rsidP="000D1D78">
      <w:pPr>
        <w:spacing w:line="360" w:lineRule="auto"/>
        <w:jc w:val="both"/>
        <w:rPr>
          <w:rFonts w:ascii="Times New Roman" w:hAnsi="Times New Roman" w:cs="Times New Roman"/>
          <w:b/>
          <w:i/>
          <w:sz w:val="24"/>
          <w:szCs w:val="24"/>
        </w:rPr>
      </w:pPr>
      <w:r w:rsidRPr="009919DD">
        <w:rPr>
          <w:rFonts w:ascii="Times New Roman" w:hAnsi="Times New Roman" w:cs="Times New Roman"/>
          <w:b/>
          <w:i/>
          <w:sz w:val="24"/>
          <w:szCs w:val="24"/>
        </w:rPr>
        <w:t>«Κάθε γνωστή θρησκεία είναι ελεύθερη και τα σχετικά με τη λατρεία της τελούνται ανεμπόδιστα</w:t>
      </w:r>
      <w:r w:rsidRPr="000D1D78">
        <w:rPr>
          <w:rFonts w:ascii="Times New Roman" w:hAnsi="Times New Roman" w:cs="Times New Roman"/>
          <w:b/>
          <w:i/>
          <w:sz w:val="24"/>
          <w:szCs w:val="24"/>
        </w:rPr>
        <w:t xml:space="preserve"> υπό την προστασία των νόμων. Η άσκηση της λατρείας δεν επιτρέπεται να προσβάλλει τη δημόσια τάξη ή τα χρηστά ήθη».</w:t>
      </w:r>
    </w:p>
    <w:p w14:paraId="3D167EC3" w14:textId="77777777" w:rsidR="00891189" w:rsidRPr="009919DD" w:rsidRDefault="00891189" w:rsidP="000D1D78">
      <w:pPr>
        <w:spacing w:line="360" w:lineRule="auto"/>
        <w:jc w:val="both"/>
        <w:rPr>
          <w:rFonts w:ascii="Times New Roman" w:eastAsia="Times New Roman" w:hAnsi="Times New Roman" w:cs="Times New Roman"/>
          <w:bCs/>
          <w:sz w:val="24"/>
          <w:szCs w:val="24"/>
          <w:lang w:eastAsia="el-GR"/>
        </w:rPr>
      </w:pPr>
      <w:r w:rsidRPr="009919DD">
        <w:rPr>
          <w:rFonts w:ascii="Times New Roman" w:eastAsia="Times New Roman" w:hAnsi="Times New Roman" w:cs="Times New Roman"/>
          <w:bCs/>
          <w:sz w:val="24"/>
          <w:szCs w:val="24"/>
          <w:lang w:eastAsia="el-GR"/>
        </w:rPr>
        <w:t xml:space="preserve"> Ο όρος «γνωστή θρησκεία», οικείος μας και ερμηνευτικά προσπελάσιμος ήδη από πολλών ετών, περιγράφει, χωρίς να επιχειρ</w:t>
      </w:r>
      <w:r w:rsidR="00057711" w:rsidRPr="009919DD">
        <w:rPr>
          <w:rFonts w:ascii="Times New Roman" w:eastAsia="Times New Roman" w:hAnsi="Times New Roman" w:cs="Times New Roman"/>
          <w:bCs/>
          <w:sz w:val="24"/>
          <w:szCs w:val="24"/>
          <w:lang w:eastAsia="el-GR"/>
        </w:rPr>
        <w:t xml:space="preserve">είται στο σημείο αυτό </w:t>
      </w:r>
      <w:r w:rsidRPr="009919DD">
        <w:rPr>
          <w:rFonts w:ascii="Times New Roman" w:eastAsia="Times New Roman" w:hAnsi="Times New Roman" w:cs="Times New Roman"/>
          <w:bCs/>
          <w:sz w:val="24"/>
          <w:szCs w:val="24"/>
          <w:lang w:eastAsia="el-GR"/>
        </w:rPr>
        <w:t>μία ισχυρή ανάλυση, τη θρησκεία που δεν έχει κρύφια δόγματα και αντιθέτως έχει φανερή λατρεία</w:t>
      </w:r>
      <w:r w:rsidR="00F66319" w:rsidRPr="009919DD">
        <w:rPr>
          <w:rStyle w:val="a7"/>
          <w:rFonts w:ascii="Times New Roman" w:eastAsia="Times New Roman" w:hAnsi="Times New Roman" w:cs="Times New Roman"/>
          <w:bCs/>
          <w:sz w:val="24"/>
          <w:szCs w:val="24"/>
          <w:lang w:eastAsia="el-GR"/>
        </w:rPr>
        <w:footnoteReference w:id="1"/>
      </w:r>
      <w:r w:rsidRPr="009919DD">
        <w:rPr>
          <w:rFonts w:ascii="Times New Roman" w:eastAsia="Times New Roman" w:hAnsi="Times New Roman" w:cs="Times New Roman"/>
          <w:bCs/>
          <w:sz w:val="24"/>
          <w:szCs w:val="24"/>
          <w:lang w:eastAsia="el-GR"/>
        </w:rPr>
        <w:t xml:space="preserve">. </w:t>
      </w:r>
      <w:r w:rsidR="0038215E" w:rsidRPr="009919DD">
        <w:rPr>
          <w:rFonts w:ascii="Times New Roman" w:eastAsia="Times New Roman" w:hAnsi="Times New Roman" w:cs="Times New Roman"/>
          <w:bCs/>
          <w:sz w:val="24"/>
          <w:szCs w:val="24"/>
          <w:lang w:eastAsia="el-GR"/>
        </w:rPr>
        <w:t xml:space="preserve">Η πρώτη ερμηνευτική προσέγγιση του όρου, ανατρέχει στον θεωρητικό του δικαίου Ν.Ι. </w:t>
      </w:r>
      <w:proofErr w:type="spellStart"/>
      <w:r w:rsidR="0038215E" w:rsidRPr="009919DD">
        <w:rPr>
          <w:rFonts w:ascii="Times New Roman" w:eastAsia="Times New Roman" w:hAnsi="Times New Roman" w:cs="Times New Roman"/>
          <w:bCs/>
          <w:sz w:val="24"/>
          <w:szCs w:val="24"/>
          <w:lang w:eastAsia="el-GR"/>
        </w:rPr>
        <w:t>Σαρίπολο</w:t>
      </w:r>
      <w:proofErr w:type="spellEnd"/>
      <w:r w:rsidR="0038215E" w:rsidRPr="009919DD">
        <w:rPr>
          <w:rFonts w:ascii="Times New Roman" w:eastAsia="Times New Roman" w:hAnsi="Times New Roman" w:cs="Times New Roman"/>
          <w:bCs/>
          <w:sz w:val="24"/>
          <w:szCs w:val="24"/>
          <w:lang w:eastAsia="el-GR"/>
        </w:rPr>
        <w:t xml:space="preserve">, ο οποίος όρισε τις δύο αυτές παραμέτρους ως ικανές και επαρκείς για τον ορισμό του επιθετικού χαρακτηρισμού. </w:t>
      </w:r>
    </w:p>
    <w:p w14:paraId="3D167EC4" w14:textId="77777777" w:rsidR="00891189" w:rsidRPr="009919DD" w:rsidRDefault="00891189" w:rsidP="000D1D78">
      <w:pPr>
        <w:spacing w:line="360" w:lineRule="auto"/>
        <w:jc w:val="both"/>
        <w:rPr>
          <w:rFonts w:ascii="Times New Roman" w:eastAsia="Times New Roman" w:hAnsi="Times New Roman" w:cs="Times New Roman"/>
          <w:bCs/>
          <w:sz w:val="24"/>
          <w:szCs w:val="24"/>
          <w:lang w:eastAsia="el-GR"/>
        </w:rPr>
      </w:pPr>
      <w:r w:rsidRPr="009919DD">
        <w:rPr>
          <w:rFonts w:ascii="Times New Roman" w:eastAsia="Times New Roman" w:hAnsi="Times New Roman" w:cs="Times New Roman"/>
          <w:sz w:val="24"/>
          <w:szCs w:val="24"/>
          <w:lang w:eastAsia="el-GR"/>
        </w:rPr>
        <w:t xml:space="preserve">Είναι συμβατός σήμερα ο όρος </w:t>
      </w:r>
      <w:r w:rsidRPr="009919DD">
        <w:rPr>
          <w:rFonts w:ascii="Times New Roman" w:eastAsia="Times New Roman" w:hAnsi="Times New Roman" w:cs="Times New Roman"/>
          <w:bCs/>
          <w:sz w:val="24"/>
          <w:szCs w:val="24"/>
          <w:lang w:eastAsia="el-GR"/>
        </w:rPr>
        <w:t>«</w:t>
      </w:r>
      <w:r w:rsidRPr="009919DD">
        <w:rPr>
          <w:rFonts w:ascii="Times New Roman" w:eastAsia="Times New Roman" w:hAnsi="Times New Roman" w:cs="Times New Roman"/>
          <w:sz w:val="24"/>
          <w:szCs w:val="24"/>
          <w:lang w:eastAsia="el-GR"/>
        </w:rPr>
        <w:t>γνωστή θρησκεία</w:t>
      </w:r>
      <w:r w:rsidRPr="009919DD">
        <w:rPr>
          <w:rFonts w:ascii="Times New Roman" w:eastAsia="Times New Roman" w:hAnsi="Times New Roman" w:cs="Times New Roman"/>
          <w:bCs/>
          <w:sz w:val="24"/>
          <w:szCs w:val="24"/>
          <w:lang w:eastAsia="el-GR"/>
        </w:rPr>
        <w:t xml:space="preserve">», όπως υφίσταται </w:t>
      </w:r>
      <w:r w:rsidRPr="009919DD">
        <w:rPr>
          <w:rFonts w:ascii="Times New Roman" w:eastAsia="Times New Roman" w:hAnsi="Times New Roman" w:cs="Times New Roman"/>
          <w:sz w:val="24"/>
          <w:szCs w:val="24"/>
          <w:lang w:eastAsia="el-GR"/>
        </w:rPr>
        <w:t xml:space="preserve">στο κείμενο του </w:t>
      </w:r>
      <w:r w:rsidRPr="009919DD">
        <w:rPr>
          <w:rFonts w:ascii="Times New Roman" w:eastAsia="Times New Roman" w:hAnsi="Times New Roman" w:cs="Times New Roman"/>
          <w:bCs/>
          <w:sz w:val="24"/>
          <w:szCs w:val="24"/>
          <w:lang w:eastAsia="el-GR"/>
        </w:rPr>
        <w:t xml:space="preserve">ισχύοντος </w:t>
      </w:r>
      <w:r w:rsidRPr="009919DD">
        <w:rPr>
          <w:rFonts w:ascii="Times New Roman" w:eastAsia="Times New Roman" w:hAnsi="Times New Roman" w:cs="Times New Roman"/>
          <w:sz w:val="24"/>
          <w:szCs w:val="24"/>
          <w:lang w:eastAsia="el-GR"/>
        </w:rPr>
        <w:t>Συντάγματος</w:t>
      </w:r>
      <w:r w:rsidRPr="009919DD">
        <w:rPr>
          <w:rFonts w:ascii="Times New Roman" w:eastAsia="Times New Roman" w:hAnsi="Times New Roman" w:cs="Times New Roman"/>
          <w:bCs/>
          <w:sz w:val="24"/>
          <w:szCs w:val="24"/>
          <w:lang w:eastAsia="el-GR"/>
        </w:rPr>
        <w:t xml:space="preserve">, </w:t>
      </w:r>
      <w:r w:rsidRPr="009919DD">
        <w:rPr>
          <w:rFonts w:ascii="Times New Roman" w:eastAsia="Times New Roman" w:hAnsi="Times New Roman" w:cs="Times New Roman"/>
          <w:sz w:val="24"/>
          <w:szCs w:val="24"/>
          <w:lang w:eastAsia="el-GR"/>
        </w:rPr>
        <w:t xml:space="preserve"> με το δικαίωμα κάθε ανθρώπου στην ελευθερία της σκέψης, της συνείδησης και της θρησκείας, εν τέλει στην πνευματική ελευθερία,  έτσι όπως το διεθνές κατά μείζονα λόγο περιβάλλον αντιλαμβάνεται την ελευθερία αυτή; </w:t>
      </w:r>
      <w:r w:rsidRPr="009919DD">
        <w:rPr>
          <w:rFonts w:ascii="Times New Roman" w:eastAsia="Times New Roman" w:hAnsi="Times New Roman" w:cs="Times New Roman"/>
          <w:bCs/>
          <w:sz w:val="24"/>
          <w:szCs w:val="24"/>
          <w:lang w:eastAsia="el-GR"/>
        </w:rPr>
        <w:t xml:space="preserve"> Ιδίως όταν η ελευθερία της θρησκείας προσλαμβάνεται ως ελευθερία μεταβολής της, όπως και </w:t>
      </w:r>
      <w:r w:rsidRPr="009919DD">
        <w:rPr>
          <w:rFonts w:ascii="Times New Roman" w:eastAsia="Times New Roman" w:hAnsi="Times New Roman" w:cs="Times New Roman"/>
          <w:sz w:val="24"/>
          <w:szCs w:val="24"/>
          <w:lang w:eastAsia="el-GR"/>
        </w:rPr>
        <w:t xml:space="preserve"> των πεποιθήσεων</w:t>
      </w:r>
      <w:r w:rsidRPr="009919DD">
        <w:rPr>
          <w:rFonts w:ascii="Times New Roman" w:eastAsia="Times New Roman" w:hAnsi="Times New Roman" w:cs="Times New Roman"/>
          <w:bCs/>
          <w:sz w:val="24"/>
          <w:szCs w:val="24"/>
          <w:lang w:eastAsia="el-GR"/>
        </w:rPr>
        <w:t xml:space="preserve"> και της </w:t>
      </w:r>
      <w:r w:rsidR="003E41EB" w:rsidRPr="009919DD">
        <w:rPr>
          <w:rFonts w:ascii="Times New Roman" w:eastAsia="Times New Roman" w:hAnsi="Times New Roman" w:cs="Times New Roman"/>
          <w:bCs/>
          <w:sz w:val="24"/>
          <w:szCs w:val="24"/>
          <w:lang w:eastAsia="el-GR"/>
        </w:rPr>
        <w:t xml:space="preserve">απόκρυψης ή </w:t>
      </w:r>
      <w:r w:rsidRPr="009919DD">
        <w:rPr>
          <w:rFonts w:ascii="Times New Roman" w:eastAsia="Times New Roman" w:hAnsi="Times New Roman" w:cs="Times New Roman"/>
          <w:bCs/>
          <w:sz w:val="24"/>
          <w:szCs w:val="24"/>
          <w:lang w:eastAsia="el-GR"/>
        </w:rPr>
        <w:t xml:space="preserve">εκδήλωσής τους; </w:t>
      </w:r>
    </w:p>
    <w:p w14:paraId="3D167EC5" w14:textId="77777777" w:rsidR="00891189" w:rsidRPr="009919DD" w:rsidRDefault="00891189" w:rsidP="000D1D78">
      <w:pPr>
        <w:pStyle w:val="a4"/>
        <w:spacing w:after="200" w:line="360" w:lineRule="auto"/>
        <w:jc w:val="both"/>
        <w:rPr>
          <w:rStyle w:val="a5"/>
          <w:rFonts w:ascii="Times New Roman" w:hAnsi="Times New Roman" w:cs="Times New Roman"/>
          <w:i w:val="0"/>
          <w:sz w:val="24"/>
          <w:szCs w:val="24"/>
        </w:rPr>
      </w:pPr>
      <w:r w:rsidRPr="009919DD">
        <w:rPr>
          <w:rStyle w:val="a5"/>
          <w:rFonts w:ascii="Times New Roman" w:hAnsi="Times New Roman" w:cs="Times New Roman"/>
          <w:i w:val="0"/>
          <w:sz w:val="24"/>
          <w:szCs w:val="24"/>
        </w:rPr>
        <w:t xml:space="preserve">Το ΕΔΔΑ θεωρεί,  ότι η προστασία που κατοχυρώνεται από το άρθρο 9 </w:t>
      </w:r>
      <w:r w:rsidR="003E41EB" w:rsidRPr="009919DD">
        <w:rPr>
          <w:rStyle w:val="a5"/>
          <w:rFonts w:ascii="Times New Roman" w:hAnsi="Times New Roman" w:cs="Times New Roman"/>
          <w:i w:val="0"/>
          <w:sz w:val="24"/>
          <w:szCs w:val="24"/>
        </w:rPr>
        <w:t xml:space="preserve">της Σύμβασης </w:t>
      </w:r>
      <w:r w:rsidRPr="009919DD">
        <w:rPr>
          <w:rStyle w:val="a5"/>
          <w:rFonts w:ascii="Times New Roman" w:hAnsi="Times New Roman" w:cs="Times New Roman"/>
          <w:i w:val="0"/>
          <w:sz w:val="24"/>
          <w:szCs w:val="24"/>
        </w:rPr>
        <w:t xml:space="preserve">εκτείνεται σε </w:t>
      </w:r>
      <w:r w:rsidR="003E41EB" w:rsidRPr="009919DD">
        <w:rPr>
          <w:rStyle w:val="a5"/>
          <w:rFonts w:ascii="Times New Roman" w:hAnsi="Times New Roman" w:cs="Times New Roman"/>
          <w:i w:val="0"/>
          <w:sz w:val="24"/>
          <w:szCs w:val="24"/>
        </w:rPr>
        <w:t xml:space="preserve">μια μεγάλη γκάμα </w:t>
      </w:r>
      <w:r w:rsidRPr="009919DD">
        <w:rPr>
          <w:rStyle w:val="a5"/>
          <w:rFonts w:ascii="Times New Roman" w:hAnsi="Times New Roman" w:cs="Times New Roman"/>
          <w:i w:val="0"/>
          <w:sz w:val="24"/>
          <w:szCs w:val="24"/>
        </w:rPr>
        <w:t xml:space="preserve">εύρος πεποιθήσεων, χωρίς να περιορίζεται στις, στενά εννοούμενες, θρησκευτικές πεποιθήσεις, εφόσον πάντως η προστατευόμενη πεποίθηση έχει αποκτήσει </w:t>
      </w:r>
      <w:r w:rsidR="003E41EB" w:rsidRPr="009919DD">
        <w:rPr>
          <w:rStyle w:val="a5"/>
          <w:rFonts w:ascii="Times New Roman" w:hAnsi="Times New Roman" w:cs="Times New Roman"/>
          <w:i w:val="0"/>
          <w:sz w:val="24"/>
          <w:szCs w:val="24"/>
        </w:rPr>
        <w:t>ένα καθεστώς σοβαρότητας, είναι συνεκτική και απολαμβάνει βαρύνουσας σημασίας. Υπό τα κριτήρια αυτά, έ</w:t>
      </w:r>
      <w:r w:rsidRPr="009919DD">
        <w:rPr>
          <w:rStyle w:val="a5"/>
          <w:rFonts w:ascii="Times New Roman" w:hAnsi="Times New Roman" w:cs="Times New Roman"/>
          <w:i w:val="0"/>
          <w:sz w:val="24"/>
          <w:szCs w:val="24"/>
        </w:rPr>
        <w:t>χουν αναγνωριστεί ως θρησκευτικές πεποιθήσεις</w:t>
      </w:r>
      <w:r w:rsidR="003E41EB" w:rsidRPr="009919DD">
        <w:rPr>
          <w:rStyle w:val="a5"/>
          <w:rFonts w:ascii="Times New Roman" w:hAnsi="Times New Roman" w:cs="Times New Roman"/>
          <w:i w:val="0"/>
          <w:sz w:val="24"/>
          <w:szCs w:val="24"/>
        </w:rPr>
        <w:t>,</w:t>
      </w:r>
      <w:r w:rsidRPr="009919DD">
        <w:rPr>
          <w:rStyle w:val="a5"/>
          <w:rFonts w:ascii="Times New Roman" w:hAnsi="Times New Roman" w:cs="Times New Roman"/>
          <w:i w:val="0"/>
          <w:sz w:val="24"/>
          <w:szCs w:val="24"/>
        </w:rPr>
        <w:t xml:space="preserve"> σύμφωνα με το άρθρο 9 </w:t>
      </w:r>
      <w:r w:rsidR="003E41EB" w:rsidRPr="009919DD">
        <w:rPr>
          <w:rStyle w:val="a5"/>
          <w:rFonts w:ascii="Times New Roman" w:hAnsi="Times New Roman" w:cs="Times New Roman"/>
          <w:i w:val="0"/>
          <w:sz w:val="24"/>
          <w:szCs w:val="24"/>
        </w:rPr>
        <w:t xml:space="preserve">της Σύμβασης, </w:t>
      </w:r>
      <w:r w:rsidRPr="009919DD">
        <w:rPr>
          <w:rStyle w:val="a5"/>
          <w:rFonts w:ascii="Times New Roman" w:hAnsi="Times New Roman" w:cs="Times New Roman"/>
          <w:i w:val="0"/>
          <w:sz w:val="24"/>
          <w:szCs w:val="24"/>
        </w:rPr>
        <w:lastRenderedPageBreak/>
        <w:t xml:space="preserve">θρησκεύματα όπως ο </w:t>
      </w:r>
      <w:proofErr w:type="spellStart"/>
      <w:r w:rsidRPr="009919DD">
        <w:rPr>
          <w:rStyle w:val="a5"/>
          <w:rFonts w:ascii="Times New Roman" w:hAnsi="Times New Roman" w:cs="Times New Roman"/>
          <w:i w:val="0"/>
          <w:sz w:val="24"/>
          <w:szCs w:val="24"/>
        </w:rPr>
        <w:t>Δρουιδισμός</w:t>
      </w:r>
      <w:proofErr w:type="spellEnd"/>
      <w:r w:rsidRPr="009919DD">
        <w:rPr>
          <w:rStyle w:val="a5"/>
          <w:rFonts w:ascii="Times New Roman" w:hAnsi="Times New Roman" w:cs="Times New Roman"/>
          <w:i w:val="0"/>
          <w:sz w:val="24"/>
          <w:szCs w:val="24"/>
        </w:rPr>
        <w:t xml:space="preserve">, η </w:t>
      </w:r>
      <w:proofErr w:type="spellStart"/>
      <w:r w:rsidRPr="009919DD">
        <w:rPr>
          <w:rStyle w:val="a5"/>
          <w:rFonts w:ascii="Times New Roman" w:hAnsi="Times New Roman" w:cs="Times New Roman"/>
          <w:i w:val="0"/>
          <w:sz w:val="24"/>
          <w:szCs w:val="24"/>
        </w:rPr>
        <w:t>Σαϊεντολογία</w:t>
      </w:r>
      <w:proofErr w:type="spellEnd"/>
      <w:r w:rsidRPr="009919DD">
        <w:rPr>
          <w:rStyle w:val="a5"/>
          <w:rFonts w:ascii="Times New Roman" w:hAnsi="Times New Roman" w:cs="Times New Roman"/>
          <w:i w:val="0"/>
          <w:sz w:val="24"/>
          <w:szCs w:val="24"/>
        </w:rPr>
        <w:t xml:space="preserve"> και το Κέντρο του Θείου Φωτός. Χαρακτηριστικά αναφέρω ότι στην υπόθεση της Μητροπολιτικής Εκκλησίας της Βεσσαραβίας</w:t>
      </w:r>
      <w:r w:rsidR="008D690E" w:rsidRPr="009919DD">
        <w:rPr>
          <w:rStyle w:val="a7"/>
          <w:rFonts w:ascii="Times New Roman" w:hAnsi="Times New Roman" w:cs="Times New Roman"/>
          <w:iCs/>
          <w:sz w:val="24"/>
          <w:szCs w:val="24"/>
        </w:rPr>
        <w:footnoteReference w:id="2"/>
      </w:r>
      <w:r w:rsidRPr="009919DD">
        <w:rPr>
          <w:rStyle w:val="a5"/>
          <w:rFonts w:ascii="Times New Roman" w:hAnsi="Times New Roman" w:cs="Times New Roman"/>
          <w:i w:val="0"/>
          <w:sz w:val="24"/>
          <w:szCs w:val="24"/>
        </w:rPr>
        <w:t>, το ΕΔΔΑ έκρινε ότι η άρνηση της κυβέρνησης της Μολδαβίας να αναγνωρίσει την εκκλησία αυτή υπήρξε αυθαίρετη και αντίθετη στην ανάγκη διασφάλισης του πλουραλισμού που κατοχυρώνεται στο άρθρο 9 ΕΣΔΑ.</w:t>
      </w:r>
      <w:r w:rsidR="003E41EB" w:rsidRPr="009919DD">
        <w:rPr>
          <w:rStyle w:val="a7"/>
          <w:rFonts w:ascii="Times New Roman" w:hAnsi="Times New Roman" w:cs="Times New Roman"/>
          <w:iCs/>
          <w:sz w:val="24"/>
          <w:szCs w:val="24"/>
        </w:rPr>
        <w:footnoteReference w:id="3"/>
      </w:r>
    </w:p>
    <w:p w14:paraId="3D167EC6" w14:textId="77777777" w:rsidR="00891189" w:rsidRPr="009919DD" w:rsidRDefault="0038215E" w:rsidP="000D1D78">
      <w:pPr>
        <w:pStyle w:val="a4"/>
        <w:spacing w:after="200" w:line="360" w:lineRule="auto"/>
        <w:jc w:val="both"/>
        <w:rPr>
          <w:rStyle w:val="a5"/>
          <w:rFonts w:ascii="Times New Roman" w:hAnsi="Times New Roman" w:cs="Times New Roman"/>
          <w:i w:val="0"/>
          <w:sz w:val="24"/>
          <w:szCs w:val="24"/>
        </w:rPr>
      </w:pPr>
      <w:r w:rsidRPr="009919DD">
        <w:rPr>
          <w:rStyle w:val="a5"/>
          <w:rFonts w:ascii="Times New Roman" w:hAnsi="Times New Roman" w:cs="Times New Roman"/>
          <w:i w:val="0"/>
          <w:sz w:val="24"/>
          <w:szCs w:val="24"/>
        </w:rPr>
        <w:t>Το Συμβούλιο της Επικρατείας</w:t>
      </w:r>
      <w:r w:rsidR="00B75931" w:rsidRPr="009919DD">
        <w:rPr>
          <w:rStyle w:val="a7"/>
          <w:rFonts w:ascii="Times New Roman" w:hAnsi="Times New Roman" w:cs="Times New Roman"/>
          <w:iCs/>
          <w:sz w:val="24"/>
          <w:szCs w:val="24"/>
        </w:rPr>
        <w:footnoteReference w:id="4"/>
      </w:r>
      <w:r w:rsidRPr="009919DD">
        <w:rPr>
          <w:rStyle w:val="a5"/>
          <w:rFonts w:ascii="Times New Roman" w:hAnsi="Times New Roman" w:cs="Times New Roman"/>
          <w:i w:val="0"/>
          <w:sz w:val="24"/>
          <w:szCs w:val="24"/>
        </w:rPr>
        <w:t xml:space="preserve"> αντιστοίχως έχει τοποθετηθεί με σαφή προσανατολισμό προς την προστασία του δικαιώματος από τον περιορισμό του επιθέτου. </w:t>
      </w:r>
      <w:r w:rsidR="00B75931" w:rsidRPr="009919DD">
        <w:rPr>
          <w:rStyle w:val="a5"/>
          <w:rFonts w:ascii="Times New Roman" w:hAnsi="Times New Roman" w:cs="Times New Roman"/>
          <w:i w:val="0"/>
          <w:sz w:val="24"/>
          <w:szCs w:val="24"/>
        </w:rPr>
        <w:t xml:space="preserve">Κατά το ανώτατο ακυρωτικό, καμία σημασία δεν έχει εάν το θρήσκευμα ή το δόγμα, είναι γνωστό στις αρχές, όπως επίσης εάν είναι ευάριθμο ή </w:t>
      </w:r>
      <w:proofErr w:type="spellStart"/>
      <w:r w:rsidR="00B75931" w:rsidRPr="009919DD">
        <w:rPr>
          <w:rStyle w:val="a5"/>
          <w:rFonts w:ascii="Times New Roman" w:hAnsi="Times New Roman" w:cs="Times New Roman"/>
          <w:i w:val="0"/>
          <w:sz w:val="24"/>
          <w:szCs w:val="24"/>
        </w:rPr>
        <w:t>ολογομελές</w:t>
      </w:r>
      <w:proofErr w:type="spellEnd"/>
      <w:r w:rsidR="00B75931" w:rsidRPr="009919DD">
        <w:rPr>
          <w:rStyle w:val="a5"/>
          <w:rFonts w:ascii="Times New Roman" w:hAnsi="Times New Roman" w:cs="Times New Roman"/>
          <w:i w:val="0"/>
          <w:sz w:val="24"/>
          <w:szCs w:val="24"/>
        </w:rPr>
        <w:t xml:space="preserve"> ως προς τους πιστούς, εάν είναι παλαιό ή καινοφανές, εάν μπορεί να προσδιοριστεί ως «αίρεση» σε σχέση με άλλη θρησκεία ή εάν οι λειτουργοί του στερούνται </w:t>
      </w:r>
      <w:proofErr w:type="spellStart"/>
      <w:r w:rsidR="00B75931" w:rsidRPr="009919DD">
        <w:rPr>
          <w:rStyle w:val="a5"/>
          <w:rFonts w:ascii="Times New Roman" w:hAnsi="Times New Roman" w:cs="Times New Roman"/>
          <w:i w:val="0"/>
          <w:sz w:val="24"/>
          <w:szCs w:val="24"/>
        </w:rPr>
        <w:t>ιερωσύνης</w:t>
      </w:r>
      <w:proofErr w:type="spellEnd"/>
      <w:r w:rsidR="00B75931" w:rsidRPr="009919DD">
        <w:rPr>
          <w:rStyle w:val="a5"/>
          <w:rFonts w:ascii="Times New Roman" w:hAnsi="Times New Roman" w:cs="Times New Roman"/>
          <w:i w:val="0"/>
          <w:sz w:val="24"/>
          <w:szCs w:val="24"/>
        </w:rPr>
        <w:t xml:space="preserve"> κατά το ισχύον </w:t>
      </w:r>
      <w:proofErr w:type="spellStart"/>
      <w:r w:rsidR="00B75931" w:rsidRPr="009919DD">
        <w:rPr>
          <w:rStyle w:val="a5"/>
          <w:rFonts w:ascii="Times New Roman" w:hAnsi="Times New Roman" w:cs="Times New Roman"/>
          <w:i w:val="0"/>
          <w:sz w:val="24"/>
          <w:szCs w:val="24"/>
        </w:rPr>
        <w:t>νομοκανονικό</w:t>
      </w:r>
      <w:proofErr w:type="spellEnd"/>
      <w:r w:rsidR="00B75931" w:rsidRPr="009919DD">
        <w:rPr>
          <w:rStyle w:val="a5"/>
          <w:rFonts w:ascii="Times New Roman" w:hAnsi="Times New Roman" w:cs="Times New Roman"/>
          <w:i w:val="0"/>
          <w:sz w:val="24"/>
          <w:szCs w:val="24"/>
        </w:rPr>
        <w:t xml:space="preserve"> δίκαιο. Υπό το πρίσμα αυτό οι θρησκευτικές κοινότητες των Μεθοδιστών, των Μαρτύρων του Ιεχωβά, των Αντβεντιστ</w:t>
      </w:r>
      <w:r w:rsidR="008D690E" w:rsidRPr="009919DD">
        <w:rPr>
          <w:rStyle w:val="a5"/>
          <w:rFonts w:ascii="Times New Roman" w:hAnsi="Times New Roman" w:cs="Times New Roman"/>
          <w:i w:val="0"/>
          <w:sz w:val="24"/>
          <w:szCs w:val="24"/>
        </w:rPr>
        <w:t>ών της Εβδόμης Ημέρας αλλά και αρκετές άλλες, έ</w:t>
      </w:r>
      <w:r w:rsidR="00B75931" w:rsidRPr="009919DD">
        <w:rPr>
          <w:rStyle w:val="a5"/>
          <w:rFonts w:ascii="Times New Roman" w:hAnsi="Times New Roman" w:cs="Times New Roman"/>
          <w:i w:val="0"/>
          <w:sz w:val="24"/>
          <w:szCs w:val="24"/>
        </w:rPr>
        <w:t>χουν κριθεί ως «γνωστές» θρησκείες.</w:t>
      </w:r>
    </w:p>
    <w:p w14:paraId="3D167EC7" w14:textId="77777777" w:rsidR="00891189" w:rsidRPr="009919DD" w:rsidRDefault="00891189" w:rsidP="000D1D78">
      <w:pPr>
        <w:spacing w:line="360" w:lineRule="auto"/>
        <w:jc w:val="both"/>
        <w:rPr>
          <w:rFonts w:ascii="Times New Roman" w:eastAsia="Times New Roman" w:hAnsi="Times New Roman" w:cs="Times New Roman"/>
          <w:sz w:val="24"/>
          <w:szCs w:val="24"/>
          <w:lang w:eastAsia="el-GR"/>
        </w:rPr>
      </w:pPr>
      <w:r w:rsidRPr="009919DD">
        <w:rPr>
          <w:rFonts w:ascii="Times New Roman" w:eastAsia="Times New Roman" w:hAnsi="Times New Roman" w:cs="Times New Roman"/>
          <w:sz w:val="24"/>
          <w:szCs w:val="24"/>
          <w:lang w:eastAsia="el-GR"/>
        </w:rPr>
        <w:t xml:space="preserve">Η επίτευξη ισορροπίας από την ελληνική πολιτεία όταν τίθεται το ζήτημα της θρησκευτικής ουδετερότητας του κράτους, με την ταυτόχρονη διαφύλαξη της παράδοσης, μέσα σε ένα περιβάλλον που διαρκώς διεκδικεί περισσότερη αναγνώριση, κατοχύρωση και διαφύλαξη των δικαιωμάτων και ελευθεριών του προσώπου, αποδεικνύεται μία εξαιρετικά ντελικάτη  κι ενδιαφέρουσα πρόκληση. </w:t>
      </w:r>
    </w:p>
    <w:p w14:paraId="3D167EC8" w14:textId="77777777" w:rsidR="00891189" w:rsidRPr="009919DD" w:rsidRDefault="00891189" w:rsidP="000D1D78">
      <w:pPr>
        <w:spacing w:line="360" w:lineRule="auto"/>
        <w:jc w:val="both"/>
        <w:rPr>
          <w:rFonts w:ascii="Times New Roman" w:hAnsi="Times New Roman" w:cs="Times New Roman"/>
          <w:sz w:val="24"/>
          <w:szCs w:val="24"/>
          <w:lang w:eastAsia="el-GR"/>
        </w:rPr>
      </w:pPr>
      <w:r w:rsidRPr="009919DD">
        <w:rPr>
          <w:rFonts w:ascii="Times New Roman" w:hAnsi="Times New Roman" w:cs="Times New Roman"/>
          <w:sz w:val="24"/>
          <w:szCs w:val="24"/>
          <w:lang w:eastAsia="el-GR"/>
        </w:rPr>
        <w:t>Σε αυτήν έγινε προσπάθεια να ανταποκριθεί η πολιτεία με  την αναθεώρηση του 2019. Τότε, μεταξύ άλλων προτάθηκε ο εξορθολογισμός του όρου γνωστή θρησκεία ή η αντικατάστασή του με  κάποιον σαφέστερο όρο, που δεν θα έχει ανάγκη  ερμηνευτικής προσέγγισης. Όπως γνωρίζουμε η σχετική πρωτοβουλία καταψηφίστηκε</w:t>
      </w:r>
      <w:r w:rsidR="00920223" w:rsidRPr="009919DD">
        <w:rPr>
          <w:rStyle w:val="a7"/>
          <w:rFonts w:ascii="Times New Roman" w:hAnsi="Times New Roman" w:cs="Times New Roman"/>
          <w:sz w:val="24"/>
          <w:szCs w:val="24"/>
          <w:lang w:eastAsia="el-GR"/>
        </w:rPr>
        <w:footnoteReference w:id="5"/>
      </w:r>
      <w:r w:rsidRPr="009919DD">
        <w:rPr>
          <w:rFonts w:ascii="Times New Roman" w:hAnsi="Times New Roman" w:cs="Times New Roman"/>
          <w:sz w:val="24"/>
          <w:szCs w:val="24"/>
          <w:lang w:eastAsia="el-GR"/>
        </w:rPr>
        <w:t xml:space="preserve">. </w:t>
      </w:r>
    </w:p>
    <w:p w14:paraId="3D167EC9" w14:textId="77777777" w:rsidR="0038215E" w:rsidRPr="009919DD" w:rsidRDefault="00891189" w:rsidP="000D1D78">
      <w:pPr>
        <w:spacing w:line="360" w:lineRule="auto"/>
        <w:jc w:val="both"/>
        <w:rPr>
          <w:rFonts w:ascii="Times New Roman" w:hAnsi="Times New Roman" w:cs="Times New Roman"/>
          <w:sz w:val="24"/>
          <w:szCs w:val="24"/>
          <w:lang w:eastAsia="el-GR"/>
        </w:rPr>
      </w:pPr>
      <w:r w:rsidRPr="009919DD">
        <w:rPr>
          <w:rFonts w:ascii="Times New Roman" w:hAnsi="Times New Roman" w:cs="Times New Roman"/>
          <w:sz w:val="24"/>
          <w:szCs w:val="24"/>
          <w:lang w:eastAsia="el-GR"/>
        </w:rPr>
        <w:t xml:space="preserve">Η σημερινή πρόταση μπορεί να είναι περισσότερο ευθεία και απλή. Το επίθετο γνωστή, με όλο το βάρος της ερμηνευτικής προσέγγισης  που φέρει,  επιστημονικά, </w:t>
      </w:r>
      <w:r w:rsidRPr="009919DD">
        <w:rPr>
          <w:rFonts w:ascii="Times New Roman" w:hAnsi="Times New Roman" w:cs="Times New Roman"/>
          <w:sz w:val="24"/>
          <w:szCs w:val="24"/>
          <w:lang w:eastAsia="el-GR"/>
        </w:rPr>
        <w:lastRenderedPageBreak/>
        <w:t xml:space="preserve">νομολογιακά  και πολιτικά, μπορεί να κριθεί ως περιττό. Ο περιορισμός που εισάγει στο μείζον δικαίωμα της θρησκευτικής ελευθερίας είναι αδικαιολόγητος </w:t>
      </w:r>
      <w:r w:rsidR="0038215E" w:rsidRPr="009919DD">
        <w:rPr>
          <w:rFonts w:ascii="Times New Roman" w:hAnsi="Times New Roman" w:cs="Times New Roman"/>
          <w:sz w:val="24"/>
          <w:szCs w:val="24"/>
          <w:lang w:eastAsia="el-GR"/>
        </w:rPr>
        <w:t>στη σημερινή πραγματικότητα κ</w:t>
      </w:r>
      <w:r w:rsidRPr="009919DD">
        <w:rPr>
          <w:rFonts w:ascii="Times New Roman" w:hAnsi="Times New Roman" w:cs="Times New Roman"/>
          <w:sz w:val="24"/>
          <w:szCs w:val="24"/>
          <w:lang w:eastAsia="el-GR"/>
        </w:rPr>
        <w:t xml:space="preserve">αι ταυτόχρονα ανεπίτρεπτος. </w:t>
      </w:r>
    </w:p>
    <w:p w14:paraId="3D167ECA" w14:textId="77777777" w:rsidR="00891189" w:rsidRPr="009919DD" w:rsidRDefault="00891189" w:rsidP="000D1D78">
      <w:pPr>
        <w:spacing w:line="360" w:lineRule="auto"/>
        <w:jc w:val="both"/>
        <w:rPr>
          <w:rFonts w:ascii="Times New Roman" w:hAnsi="Times New Roman" w:cs="Times New Roman"/>
          <w:sz w:val="24"/>
          <w:szCs w:val="24"/>
          <w:lang w:eastAsia="el-GR"/>
        </w:rPr>
      </w:pPr>
      <w:r w:rsidRPr="009919DD">
        <w:rPr>
          <w:rFonts w:ascii="Times New Roman" w:hAnsi="Times New Roman" w:cs="Times New Roman"/>
          <w:sz w:val="24"/>
          <w:szCs w:val="24"/>
          <w:lang w:eastAsia="el-GR"/>
        </w:rPr>
        <w:t xml:space="preserve">Αδικαιολόγητος, διότι το πλήθος των θρησκευτικών δοξασιών που μας κατακλύζει, με αναρίθμητες παραλλαγές στη λατρευτική ζωή και τις δογματικές προσεγγίσεις, απαιτεί </w:t>
      </w:r>
      <w:r w:rsidR="0038215E" w:rsidRPr="009919DD">
        <w:rPr>
          <w:rFonts w:ascii="Times New Roman" w:hAnsi="Times New Roman" w:cs="Times New Roman"/>
          <w:sz w:val="24"/>
          <w:szCs w:val="24"/>
          <w:lang w:eastAsia="el-GR"/>
        </w:rPr>
        <w:t xml:space="preserve">πλέον </w:t>
      </w:r>
      <w:r w:rsidRPr="009919DD">
        <w:rPr>
          <w:rFonts w:ascii="Times New Roman" w:hAnsi="Times New Roman" w:cs="Times New Roman"/>
          <w:sz w:val="24"/>
          <w:szCs w:val="24"/>
          <w:lang w:eastAsia="el-GR"/>
        </w:rPr>
        <w:t xml:space="preserve">ισχυρό προσωπικό πνευματικό εξοπλισμό, επομένως η κρατική προστασία προβάλει ατελέσφορη. </w:t>
      </w:r>
    </w:p>
    <w:p w14:paraId="3D167ECB" w14:textId="77777777" w:rsidR="00891189" w:rsidRPr="009919DD" w:rsidRDefault="00891189" w:rsidP="000D1D78">
      <w:pPr>
        <w:spacing w:line="360" w:lineRule="auto"/>
        <w:jc w:val="both"/>
        <w:rPr>
          <w:rFonts w:ascii="Times New Roman" w:hAnsi="Times New Roman" w:cs="Times New Roman"/>
          <w:sz w:val="24"/>
          <w:szCs w:val="24"/>
          <w:lang w:eastAsia="el-GR"/>
        </w:rPr>
      </w:pPr>
      <w:r w:rsidRPr="009919DD">
        <w:rPr>
          <w:rFonts w:ascii="Times New Roman" w:hAnsi="Times New Roman" w:cs="Times New Roman"/>
          <w:sz w:val="24"/>
          <w:szCs w:val="24"/>
          <w:lang w:eastAsia="el-GR"/>
        </w:rPr>
        <w:t xml:space="preserve">Και ανεπίτρεπτος διότι το εύρος του δικαιώματος στη θρησκευτική ελευθερία, οφείλει να ανταποκρίνεται στο εύρος της πνευματικής και ηθικής υπόστασης. Είναι πέραν ορίων. Το διεθνές περιβάλλον στο οποίο αναπτύσσεται η κρατική δραστηριότητα, η έλλειψη ανοχής πλέον σε θολούς όρους, η διεκδίκηση, κάποτε ασφαλώς υπερβολική, της απόλαυσης  δικαιωμάτων από τα πρόσωπα, επιτρέπει, αν δεν επιβάλει, την απαλοιφή της λέξης και την αυτάρκη ορφάνια του ουσιαστικού. Θρησκεία λοιπόν, </w:t>
      </w:r>
      <w:r w:rsidR="0038215E" w:rsidRPr="009919DD">
        <w:rPr>
          <w:rFonts w:ascii="Times New Roman" w:hAnsi="Times New Roman" w:cs="Times New Roman"/>
          <w:sz w:val="24"/>
          <w:szCs w:val="24"/>
          <w:lang w:eastAsia="el-GR"/>
        </w:rPr>
        <w:t>χωρίς προσδιορισμούς, α</w:t>
      </w:r>
      <w:r w:rsidRPr="009919DD">
        <w:rPr>
          <w:rFonts w:ascii="Times New Roman" w:hAnsi="Times New Roman" w:cs="Times New Roman"/>
          <w:sz w:val="24"/>
          <w:szCs w:val="24"/>
          <w:lang w:eastAsia="el-GR"/>
        </w:rPr>
        <w:t>ρκεί.</w:t>
      </w:r>
    </w:p>
    <w:p w14:paraId="3D167ECC" w14:textId="77777777" w:rsidR="0038215E" w:rsidRPr="009919DD" w:rsidRDefault="0038215E" w:rsidP="000D1D78">
      <w:pPr>
        <w:spacing w:line="360" w:lineRule="auto"/>
        <w:jc w:val="both"/>
        <w:rPr>
          <w:rFonts w:ascii="Times New Roman" w:hAnsi="Times New Roman" w:cs="Times New Roman"/>
          <w:b/>
          <w:i/>
          <w:sz w:val="24"/>
          <w:szCs w:val="24"/>
          <w:lang w:eastAsia="el-GR"/>
        </w:rPr>
      </w:pPr>
    </w:p>
    <w:p w14:paraId="3D167ECD" w14:textId="77777777" w:rsidR="0038215E" w:rsidRPr="009919DD" w:rsidRDefault="0038215E" w:rsidP="000D1D78">
      <w:pPr>
        <w:spacing w:line="360" w:lineRule="auto"/>
        <w:jc w:val="both"/>
        <w:rPr>
          <w:rFonts w:ascii="Times New Roman" w:hAnsi="Times New Roman" w:cs="Times New Roman"/>
          <w:b/>
          <w:i/>
          <w:sz w:val="24"/>
          <w:szCs w:val="24"/>
          <w:lang w:eastAsia="el-GR"/>
        </w:rPr>
      </w:pPr>
      <w:r w:rsidRPr="009919DD">
        <w:rPr>
          <w:rFonts w:ascii="Times New Roman" w:hAnsi="Times New Roman" w:cs="Times New Roman"/>
          <w:b/>
          <w:i/>
          <w:sz w:val="24"/>
          <w:szCs w:val="24"/>
          <w:lang w:eastAsia="el-GR"/>
        </w:rPr>
        <w:t xml:space="preserve">Άρθρο 13 § 2 </w:t>
      </w:r>
      <w:proofErr w:type="spellStart"/>
      <w:r w:rsidRPr="009919DD">
        <w:rPr>
          <w:rFonts w:ascii="Times New Roman" w:hAnsi="Times New Roman" w:cs="Times New Roman"/>
          <w:b/>
          <w:i/>
          <w:sz w:val="24"/>
          <w:szCs w:val="24"/>
          <w:lang w:eastAsia="el-GR"/>
        </w:rPr>
        <w:t>εδ</w:t>
      </w:r>
      <w:proofErr w:type="spellEnd"/>
      <w:r w:rsidRPr="009919DD">
        <w:rPr>
          <w:rFonts w:ascii="Times New Roman" w:hAnsi="Times New Roman" w:cs="Times New Roman"/>
          <w:b/>
          <w:i/>
          <w:sz w:val="24"/>
          <w:szCs w:val="24"/>
          <w:lang w:eastAsia="el-GR"/>
        </w:rPr>
        <w:t>. γ’</w:t>
      </w:r>
    </w:p>
    <w:p w14:paraId="3D167ECE" w14:textId="77777777" w:rsidR="0038215E" w:rsidRPr="009919DD" w:rsidRDefault="0038215E" w:rsidP="000D1D78">
      <w:pPr>
        <w:spacing w:line="360" w:lineRule="auto"/>
        <w:jc w:val="both"/>
        <w:rPr>
          <w:rFonts w:ascii="Times New Roman" w:hAnsi="Times New Roman" w:cs="Times New Roman"/>
          <w:b/>
          <w:i/>
          <w:sz w:val="24"/>
          <w:szCs w:val="24"/>
          <w:lang w:eastAsia="el-GR"/>
        </w:rPr>
      </w:pPr>
      <w:r w:rsidRPr="009919DD">
        <w:rPr>
          <w:rFonts w:ascii="Times New Roman" w:hAnsi="Times New Roman" w:cs="Times New Roman"/>
          <w:b/>
          <w:i/>
          <w:sz w:val="24"/>
          <w:szCs w:val="24"/>
          <w:lang w:eastAsia="el-GR"/>
        </w:rPr>
        <w:t>Ο προσηλυτισμός απαγορεύεται.</w:t>
      </w:r>
    </w:p>
    <w:p w14:paraId="3D167ECF" w14:textId="77777777" w:rsidR="00EF0618" w:rsidRPr="009919DD" w:rsidRDefault="0038215E"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Το άρθρο 13 § 2 </w:t>
      </w:r>
      <w:proofErr w:type="spellStart"/>
      <w:r w:rsidRPr="009919DD">
        <w:rPr>
          <w:rFonts w:ascii="Times New Roman" w:hAnsi="Times New Roman" w:cs="Times New Roman"/>
          <w:sz w:val="24"/>
          <w:szCs w:val="24"/>
        </w:rPr>
        <w:t>εδ</w:t>
      </w:r>
      <w:proofErr w:type="spellEnd"/>
      <w:r w:rsidRPr="009919DD">
        <w:rPr>
          <w:rFonts w:ascii="Times New Roman" w:hAnsi="Times New Roman" w:cs="Times New Roman"/>
          <w:sz w:val="24"/>
          <w:szCs w:val="24"/>
        </w:rPr>
        <w:t>. γ’ του Συντάγματος προβλέπει ρητά ότι: «Ο προσηλυτισμός απαγορεύεται».</w:t>
      </w:r>
      <w:r w:rsidR="00B75931" w:rsidRPr="009919DD">
        <w:rPr>
          <w:rFonts w:ascii="Times New Roman" w:hAnsi="Times New Roman" w:cs="Times New Roman"/>
          <w:sz w:val="24"/>
          <w:szCs w:val="24"/>
        </w:rPr>
        <w:t xml:space="preserve"> Η διάταξη αυτή, εισηγμένη ήδη στο Σύνταγμα του 1844, που επαναλήφθηκε στ</w:t>
      </w:r>
      <w:r w:rsidR="00C46F13" w:rsidRPr="009919DD">
        <w:rPr>
          <w:rFonts w:ascii="Times New Roman" w:hAnsi="Times New Roman" w:cs="Times New Roman"/>
          <w:sz w:val="24"/>
          <w:szCs w:val="24"/>
        </w:rPr>
        <w:t>ερεοτυπικά στα επόμενα συνταγματικά κείμενα</w:t>
      </w:r>
      <w:r w:rsidR="008D690E" w:rsidRPr="009919DD">
        <w:rPr>
          <w:rFonts w:ascii="Times New Roman" w:hAnsi="Times New Roman" w:cs="Times New Roman"/>
          <w:sz w:val="24"/>
          <w:szCs w:val="24"/>
        </w:rPr>
        <w:t xml:space="preserve"> του 1864 και 1911</w:t>
      </w:r>
      <w:r w:rsidR="00B75931" w:rsidRPr="009919DD">
        <w:rPr>
          <w:rFonts w:ascii="Times New Roman" w:hAnsi="Times New Roman" w:cs="Times New Roman"/>
          <w:sz w:val="24"/>
          <w:szCs w:val="24"/>
        </w:rPr>
        <w:t xml:space="preserve">  </w:t>
      </w:r>
      <w:r w:rsidRPr="009919DD">
        <w:rPr>
          <w:rFonts w:ascii="Times New Roman" w:hAnsi="Times New Roman" w:cs="Times New Roman"/>
          <w:sz w:val="24"/>
          <w:szCs w:val="24"/>
        </w:rPr>
        <w:t xml:space="preserve">υιοθετήθηκε με σκοπό την προστασία των πολιτών από πιέσεις για αλλαγή θρησκείας, κυρίως με δόλια ή καταναγκαστικά μέσα. </w:t>
      </w:r>
    </w:p>
    <w:p w14:paraId="3D167ED0" w14:textId="77777777" w:rsidR="00DC71E7" w:rsidRPr="009919DD" w:rsidRDefault="0038215E"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Ωστόσο, έχει ασκηθεί κριτική ότι η γενική απαγόρευση παραβιάζει το δικαίωμα στην ελεύθερη θρησκευτική έκφραση, ιδιαίτερα όταν η προσπάθεια μεταστροφής δεν συνοδεύεται από αθέμιτες πρακτικές.</w:t>
      </w:r>
      <w:r w:rsidR="00DC71E7" w:rsidRPr="009919DD">
        <w:rPr>
          <w:rFonts w:ascii="Times New Roman" w:hAnsi="Times New Roman" w:cs="Times New Roman"/>
          <w:sz w:val="24"/>
          <w:szCs w:val="24"/>
        </w:rPr>
        <w:t xml:space="preserve"> Ο προσηλυτισμός ως η μεθοδευμένη προσπάθεια να μεταστραφεί κάποιος σε διαφορετική θρησκευτική πίστη ή ιδεολογία, διαχωρίζεται από την ελευθερία έκφρασης θρησκευτικών πεποιθήσεων και θεωρείται αθέμιτη επιρροή όταν ασκείται με μέσα όπως  η απειλή, η εξαπάτηση ή η εκμετάλλευση. </w:t>
      </w:r>
    </w:p>
    <w:p w14:paraId="3D167ED1" w14:textId="77777777" w:rsidR="0038215E" w:rsidRPr="009919DD" w:rsidRDefault="00DC71E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lastRenderedPageBreak/>
        <w:t xml:space="preserve">Ο προσηλυτισμός αποτελεί μια από τις πλέον συζητηθείσες διατάξεις του ελληνικού Συντάγματος, ειδικά σε σχέση με την ελευθερία της θρησκευτικής πίστης και έκφρασης. Η συνταγματική απαγόρευση του προσηλυτισμού, αν και αποσκοπεί στην προστασία της θρησκευτικής συνείδησης, έχει προκαλέσει έντονες συζητήσεις για το αν συνάδει με τις σύγχρονες αξίες της ανεκτικότητας και της θρησκευτικής πολυμορφίας. </w:t>
      </w:r>
    </w:p>
    <w:p w14:paraId="3D167ED2" w14:textId="77777777" w:rsidR="00C46F13" w:rsidRPr="009919DD" w:rsidRDefault="00C46F13"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έννοια του προσηλυτισμού, υπό την συνταγματικώς κατοχυρωμένη θρησκευτική ελευθερία, οφείλει να ακολουθεί το δικαίωμα διάδοσης των θρησκευτικών πεποιθήσεων και της θρησκευτικής διδασκαλίας. Επομένως δεν μπορεί ταυτοχρόνως να αναγνωρίζεται περιορισμός της θρησκευτικής ελευθερίας ή της προσωπικότητας χάριν του προσηλυτισμού. </w:t>
      </w:r>
      <w:r w:rsidRPr="009919DD">
        <w:rPr>
          <w:rStyle w:val="a7"/>
          <w:rFonts w:ascii="Times New Roman" w:hAnsi="Times New Roman" w:cs="Times New Roman"/>
          <w:sz w:val="24"/>
          <w:szCs w:val="24"/>
        </w:rPr>
        <w:footnoteReference w:id="6"/>
      </w:r>
    </w:p>
    <w:p w14:paraId="3D167ED3" w14:textId="77777777" w:rsidR="0038215E" w:rsidRPr="009919DD" w:rsidRDefault="0038215E"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Στο παρελθόν, ειδικοί νόμοι</w:t>
      </w:r>
      <w:r w:rsidR="00C46F13" w:rsidRPr="009919DD">
        <w:rPr>
          <w:rFonts w:ascii="Times New Roman" w:hAnsi="Times New Roman" w:cs="Times New Roman"/>
          <w:sz w:val="24"/>
          <w:szCs w:val="24"/>
        </w:rPr>
        <w:t>, αναγκαστικού χαρακτήρα και συγκεκριμένα ο ν</w:t>
      </w:r>
      <w:r w:rsidRPr="009919DD">
        <w:rPr>
          <w:rFonts w:ascii="Times New Roman" w:hAnsi="Times New Roman" w:cs="Times New Roman"/>
          <w:sz w:val="24"/>
          <w:szCs w:val="24"/>
        </w:rPr>
        <w:t>.1363/1938 και</w:t>
      </w:r>
      <w:r w:rsidR="00DC71E7" w:rsidRPr="009919DD">
        <w:rPr>
          <w:rFonts w:ascii="Times New Roman" w:hAnsi="Times New Roman" w:cs="Times New Roman"/>
          <w:sz w:val="24"/>
          <w:szCs w:val="24"/>
        </w:rPr>
        <w:t xml:space="preserve"> ο</w:t>
      </w:r>
      <w:r w:rsidR="00C46F13" w:rsidRPr="009919DD">
        <w:rPr>
          <w:rFonts w:ascii="Times New Roman" w:hAnsi="Times New Roman" w:cs="Times New Roman"/>
          <w:sz w:val="24"/>
          <w:szCs w:val="24"/>
        </w:rPr>
        <w:t xml:space="preserve"> ν.</w:t>
      </w:r>
      <w:r w:rsidRPr="009919DD">
        <w:rPr>
          <w:rFonts w:ascii="Times New Roman" w:hAnsi="Times New Roman" w:cs="Times New Roman"/>
          <w:sz w:val="24"/>
          <w:szCs w:val="24"/>
        </w:rPr>
        <w:t xml:space="preserve"> 1672/1939</w:t>
      </w:r>
      <w:r w:rsidR="00DC71E7" w:rsidRPr="009919DD">
        <w:rPr>
          <w:rFonts w:ascii="Times New Roman" w:hAnsi="Times New Roman" w:cs="Times New Roman"/>
          <w:sz w:val="24"/>
          <w:szCs w:val="24"/>
        </w:rPr>
        <w:t xml:space="preserve"> που τον αντικατέστησε, </w:t>
      </w:r>
      <w:r w:rsidRPr="009919DD">
        <w:rPr>
          <w:rFonts w:ascii="Times New Roman" w:hAnsi="Times New Roman" w:cs="Times New Roman"/>
          <w:sz w:val="24"/>
          <w:szCs w:val="24"/>
        </w:rPr>
        <w:t>προέβλεπαν ποινικές κυρώσεις για το</w:t>
      </w:r>
      <w:r w:rsidR="00DC71E7" w:rsidRPr="009919DD">
        <w:rPr>
          <w:rFonts w:ascii="Times New Roman" w:hAnsi="Times New Roman" w:cs="Times New Roman"/>
          <w:sz w:val="24"/>
          <w:szCs w:val="24"/>
        </w:rPr>
        <w:t xml:space="preserve"> αδίκημα του προσηλυτισμού</w:t>
      </w:r>
      <w:r w:rsidRPr="009919DD">
        <w:rPr>
          <w:rFonts w:ascii="Times New Roman" w:hAnsi="Times New Roman" w:cs="Times New Roman"/>
          <w:sz w:val="24"/>
          <w:szCs w:val="24"/>
        </w:rPr>
        <w:t>, διότι η χρήση αθέμιτων μέσων</w:t>
      </w:r>
      <w:r w:rsidR="00EF0618" w:rsidRPr="009919DD">
        <w:rPr>
          <w:rFonts w:ascii="Times New Roman" w:hAnsi="Times New Roman" w:cs="Times New Roman"/>
          <w:sz w:val="24"/>
          <w:szCs w:val="24"/>
        </w:rPr>
        <w:t xml:space="preserve">, ιδίως παροχών κάθε φύσης, υποσχέσεων για παροχές ή άλλη υλική ή ηθική πρόνοια </w:t>
      </w:r>
      <w:r w:rsidRPr="009919DD">
        <w:rPr>
          <w:rFonts w:ascii="Times New Roman" w:hAnsi="Times New Roman" w:cs="Times New Roman"/>
          <w:sz w:val="24"/>
          <w:szCs w:val="24"/>
        </w:rPr>
        <w:t xml:space="preserve"> και όχι της πειθούς, προκειμένου να υπάρξει είσοδος στη θρησκευτική συνείδηση άλλου προσώπου</w:t>
      </w:r>
      <w:r w:rsidR="00EF0618" w:rsidRPr="009919DD">
        <w:rPr>
          <w:rFonts w:ascii="Times New Roman" w:hAnsi="Times New Roman" w:cs="Times New Roman"/>
          <w:sz w:val="24"/>
          <w:szCs w:val="24"/>
        </w:rPr>
        <w:t>, με απατηλά μέσα και εκμετάλλευση της απειρίας, ανάγκης, εμπιστοσύνης, πνευματικής αδυναμίας ή κουφότητας του προσώπου</w:t>
      </w:r>
      <w:r w:rsidRPr="009919DD">
        <w:rPr>
          <w:rFonts w:ascii="Times New Roman" w:hAnsi="Times New Roman" w:cs="Times New Roman"/>
          <w:sz w:val="24"/>
          <w:szCs w:val="24"/>
        </w:rPr>
        <w:t>, δικαιολογούσε την ποινική μεταχείριση. Υπό αυτό το πρίσμα και μόνον θα ήταν δυνατή η παραμονή της σχετικής συνταγματικής πρόβλεψης</w:t>
      </w:r>
      <w:r w:rsidR="00EF0618" w:rsidRPr="009919DD">
        <w:rPr>
          <w:rFonts w:ascii="Times New Roman" w:hAnsi="Times New Roman" w:cs="Times New Roman"/>
          <w:sz w:val="24"/>
          <w:szCs w:val="24"/>
        </w:rPr>
        <w:t>, η οποία συσφίγγει την προστασία της θρησκευτικής ελευθερίας</w:t>
      </w:r>
      <w:r w:rsidRPr="009919DD">
        <w:rPr>
          <w:rFonts w:ascii="Times New Roman" w:hAnsi="Times New Roman" w:cs="Times New Roman"/>
          <w:sz w:val="24"/>
          <w:szCs w:val="24"/>
        </w:rPr>
        <w:t xml:space="preserve">. </w:t>
      </w:r>
    </w:p>
    <w:p w14:paraId="3D167ED4" w14:textId="77777777" w:rsidR="00DC71E7" w:rsidRPr="009919DD" w:rsidRDefault="0038215E" w:rsidP="000D1D78">
      <w:pPr>
        <w:pStyle w:val="a8"/>
        <w:spacing w:after="200" w:line="360" w:lineRule="auto"/>
        <w:ind w:left="0"/>
        <w:jc w:val="both"/>
        <w:rPr>
          <w:rFonts w:ascii="Times New Roman" w:hAnsi="Times New Roman" w:cs="Times New Roman"/>
          <w:sz w:val="24"/>
          <w:szCs w:val="24"/>
        </w:rPr>
      </w:pPr>
      <w:r w:rsidRPr="009919DD">
        <w:rPr>
          <w:rFonts w:ascii="Times New Roman" w:hAnsi="Times New Roman" w:cs="Times New Roman"/>
          <w:sz w:val="24"/>
          <w:szCs w:val="24"/>
        </w:rPr>
        <w:t>Η συζήτηση στην επιστημονική κοινότητα, όσον αφορά στην ισχύ των διατάξεων, τη συνταγματικότητά τους και την απαγόρευση του προσηλυτισμού έναντι κάθε θρησκείας και όχι μόνον της επικρατούσας</w:t>
      </w:r>
      <w:r w:rsidR="00EF0618" w:rsidRPr="009919DD">
        <w:rPr>
          <w:rStyle w:val="a7"/>
          <w:rFonts w:ascii="Times New Roman" w:hAnsi="Times New Roman" w:cs="Times New Roman"/>
          <w:sz w:val="24"/>
          <w:szCs w:val="24"/>
        </w:rPr>
        <w:footnoteReference w:id="7"/>
      </w:r>
      <w:r w:rsidRPr="009919DD">
        <w:rPr>
          <w:rFonts w:ascii="Times New Roman" w:hAnsi="Times New Roman" w:cs="Times New Roman"/>
          <w:sz w:val="24"/>
          <w:szCs w:val="24"/>
        </w:rPr>
        <w:t>, διεξάγεται υπό την μεταφορά της απαγόρευσης του προσηλυτισμού από το άρθρο 13</w:t>
      </w:r>
      <w:r w:rsidR="00DC71E7" w:rsidRPr="009919DD">
        <w:rPr>
          <w:rFonts w:ascii="Times New Roman" w:hAnsi="Times New Roman" w:cs="Times New Roman"/>
          <w:sz w:val="24"/>
          <w:szCs w:val="24"/>
        </w:rPr>
        <w:t>Σ</w:t>
      </w:r>
      <w:r w:rsidRPr="009919DD">
        <w:rPr>
          <w:rFonts w:ascii="Times New Roman" w:hAnsi="Times New Roman" w:cs="Times New Roman"/>
          <w:sz w:val="24"/>
          <w:szCs w:val="24"/>
        </w:rPr>
        <w:t xml:space="preserve"> στο άρθρο 3</w:t>
      </w:r>
      <w:r w:rsidR="00DC71E7" w:rsidRPr="009919DD">
        <w:rPr>
          <w:rFonts w:ascii="Times New Roman" w:hAnsi="Times New Roman" w:cs="Times New Roman"/>
          <w:sz w:val="24"/>
          <w:szCs w:val="24"/>
        </w:rPr>
        <w:t>Σ, η οποία και διευρύνει το πεδίο προστασίας όλων των θρησκειών και όχι πλέον μόνο της επικρατούσας</w:t>
      </w:r>
      <w:r w:rsidRPr="009919DD">
        <w:rPr>
          <w:rFonts w:ascii="Times New Roman" w:hAnsi="Times New Roman" w:cs="Times New Roman"/>
          <w:sz w:val="24"/>
          <w:szCs w:val="24"/>
        </w:rPr>
        <w:t xml:space="preserve">. </w:t>
      </w:r>
    </w:p>
    <w:p w14:paraId="3D167ED6" w14:textId="7AE133AE" w:rsidR="00EF0618" w:rsidRPr="009919DD" w:rsidRDefault="0038215E" w:rsidP="000D1D78">
      <w:pPr>
        <w:pStyle w:val="a8"/>
        <w:spacing w:after="200" w:line="360" w:lineRule="auto"/>
        <w:ind w:left="0"/>
        <w:jc w:val="both"/>
        <w:rPr>
          <w:rFonts w:ascii="Times New Roman" w:hAnsi="Times New Roman" w:cs="Times New Roman"/>
          <w:sz w:val="24"/>
          <w:szCs w:val="24"/>
        </w:rPr>
      </w:pPr>
      <w:r w:rsidRPr="009919DD">
        <w:rPr>
          <w:rFonts w:ascii="Times New Roman" w:hAnsi="Times New Roman" w:cs="Times New Roman"/>
          <w:sz w:val="24"/>
          <w:szCs w:val="24"/>
        </w:rPr>
        <w:t>Η θεωρητική προσέγγιση αποδέχεται μάλλον ότι</w:t>
      </w:r>
      <w:r w:rsidR="00DC71E7" w:rsidRPr="009919DD">
        <w:rPr>
          <w:rFonts w:ascii="Times New Roman" w:hAnsi="Times New Roman" w:cs="Times New Roman"/>
          <w:sz w:val="24"/>
          <w:szCs w:val="24"/>
        </w:rPr>
        <w:t xml:space="preserve"> οι διατάξεις περί προσηλυτισμού και </w:t>
      </w:r>
      <w:r w:rsidR="00DC71E7" w:rsidRPr="009919DD">
        <w:rPr>
          <w:rFonts w:ascii="Times New Roman" w:hAnsi="Times New Roman" w:cs="Times New Roman"/>
          <w:sz w:val="24"/>
          <w:szCs w:val="24"/>
        </w:rPr>
        <w:lastRenderedPageBreak/>
        <w:t>ειδικά οι αναγκαστικοί νόμοι</w:t>
      </w:r>
      <w:r w:rsidRPr="009919DD">
        <w:rPr>
          <w:rFonts w:ascii="Times New Roman" w:hAnsi="Times New Roman" w:cs="Times New Roman"/>
          <w:sz w:val="24"/>
          <w:szCs w:val="24"/>
        </w:rPr>
        <w:t xml:space="preserve"> έχουν αυτομάτως καταργηθεί</w:t>
      </w:r>
      <w:r w:rsidR="00EF0618" w:rsidRPr="009919DD">
        <w:rPr>
          <w:rStyle w:val="a7"/>
          <w:rFonts w:ascii="Times New Roman" w:hAnsi="Times New Roman" w:cs="Times New Roman"/>
          <w:sz w:val="24"/>
          <w:szCs w:val="24"/>
        </w:rPr>
        <w:footnoteReference w:id="8"/>
      </w:r>
      <w:r w:rsidRPr="009919DD">
        <w:rPr>
          <w:rFonts w:ascii="Times New Roman" w:hAnsi="Times New Roman" w:cs="Times New Roman"/>
          <w:sz w:val="24"/>
          <w:szCs w:val="24"/>
        </w:rPr>
        <w:t>, κατά το 111 § 1 Σ. ως αντικείμενες σε διατάξεις του, ειδικώς αυτής του άρθρου 13 § 2 Σ. που προστατεύει και την ακώλυτη άσκηση της λατρείας</w:t>
      </w:r>
      <w:r w:rsidR="00DC71E7" w:rsidRPr="009919DD">
        <w:rPr>
          <w:rFonts w:ascii="Times New Roman" w:hAnsi="Times New Roman" w:cs="Times New Roman"/>
          <w:sz w:val="24"/>
          <w:szCs w:val="24"/>
        </w:rPr>
        <w:t xml:space="preserve"> από κάθε γνωστή θρησκεία</w:t>
      </w:r>
      <w:r w:rsidRPr="009919DD">
        <w:rPr>
          <w:rFonts w:ascii="Times New Roman" w:hAnsi="Times New Roman" w:cs="Times New Roman"/>
          <w:sz w:val="24"/>
          <w:szCs w:val="24"/>
        </w:rPr>
        <w:t xml:space="preserve">. </w:t>
      </w:r>
    </w:p>
    <w:p w14:paraId="3D167ED7" w14:textId="77777777" w:rsidR="0038215E" w:rsidRPr="009919DD" w:rsidRDefault="0038215E" w:rsidP="000D1D78">
      <w:pPr>
        <w:spacing w:line="360" w:lineRule="auto"/>
        <w:jc w:val="both"/>
        <w:rPr>
          <w:rStyle w:val="a5"/>
          <w:rFonts w:ascii="Times New Roman" w:hAnsi="Times New Roman" w:cs="Times New Roman"/>
          <w:i w:val="0"/>
          <w:sz w:val="24"/>
          <w:szCs w:val="24"/>
        </w:rPr>
      </w:pPr>
      <w:r w:rsidRPr="009919DD">
        <w:rPr>
          <w:rStyle w:val="a5"/>
          <w:rFonts w:ascii="Times New Roman" w:hAnsi="Times New Roman" w:cs="Times New Roman"/>
          <w:i w:val="0"/>
          <w:sz w:val="24"/>
          <w:szCs w:val="24"/>
        </w:rPr>
        <w:t xml:space="preserve">Το ΕΔΔΑ δεν έχει  υιοθετήσει την άποψη ότι η ποινική διάταξη παραβιάζει γενικά το άρθ. 9 </w:t>
      </w:r>
      <w:r w:rsidR="00DC71E7" w:rsidRPr="009919DD">
        <w:rPr>
          <w:rStyle w:val="a5"/>
          <w:rFonts w:ascii="Times New Roman" w:hAnsi="Times New Roman" w:cs="Times New Roman"/>
          <w:i w:val="0"/>
          <w:sz w:val="24"/>
          <w:szCs w:val="24"/>
        </w:rPr>
        <w:t xml:space="preserve">της Σύμβασης ωστόσο τα ελληνικά δικαστήρια έχει κριθεί ότι κατά την εφαρμογή της περιορίζουν </w:t>
      </w:r>
      <w:r w:rsidRPr="009919DD">
        <w:rPr>
          <w:rStyle w:val="a5"/>
          <w:rFonts w:ascii="Times New Roman" w:hAnsi="Times New Roman" w:cs="Times New Roman"/>
          <w:i w:val="0"/>
          <w:sz w:val="24"/>
          <w:szCs w:val="24"/>
        </w:rPr>
        <w:t>αδικαιολόγητα τη θρησκευτική ελευθερία</w:t>
      </w:r>
      <w:r w:rsidR="00EF0618" w:rsidRPr="009919DD">
        <w:rPr>
          <w:rStyle w:val="a7"/>
          <w:rFonts w:ascii="Times New Roman" w:hAnsi="Times New Roman" w:cs="Times New Roman"/>
          <w:iCs/>
          <w:sz w:val="24"/>
          <w:szCs w:val="24"/>
        </w:rPr>
        <w:footnoteReference w:id="9"/>
      </w:r>
      <w:r w:rsidRPr="009919DD">
        <w:rPr>
          <w:rStyle w:val="a5"/>
          <w:rFonts w:ascii="Times New Roman" w:hAnsi="Times New Roman" w:cs="Times New Roman"/>
          <w:i w:val="0"/>
          <w:sz w:val="24"/>
          <w:szCs w:val="24"/>
        </w:rPr>
        <w:t xml:space="preserve">. </w:t>
      </w:r>
      <w:r w:rsidR="00DC71E7" w:rsidRPr="009919DD">
        <w:rPr>
          <w:rStyle w:val="a5"/>
          <w:rFonts w:ascii="Times New Roman" w:hAnsi="Times New Roman" w:cs="Times New Roman"/>
          <w:i w:val="0"/>
          <w:sz w:val="24"/>
          <w:szCs w:val="24"/>
        </w:rPr>
        <w:t xml:space="preserve">Η αίσθηση που δημιουργείται είναι ότι η </w:t>
      </w:r>
      <w:r w:rsidRPr="009919DD">
        <w:rPr>
          <w:rStyle w:val="a5"/>
          <w:rFonts w:ascii="Times New Roman" w:hAnsi="Times New Roman" w:cs="Times New Roman"/>
          <w:i w:val="0"/>
          <w:sz w:val="24"/>
          <w:szCs w:val="24"/>
        </w:rPr>
        <w:t xml:space="preserve">εφαρμογή της διάταξης </w:t>
      </w:r>
      <w:r w:rsidR="00DC71E7" w:rsidRPr="009919DD">
        <w:rPr>
          <w:rStyle w:val="a5"/>
          <w:rFonts w:ascii="Times New Roman" w:hAnsi="Times New Roman" w:cs="Times New Roman"/>
          <w:i w:val="0"/>
          <w:sz w:val="24"/>
          <w:szCs w:val="24"/>
        </w:rPr>
        <w:t xml:space="preserve">μοιάζει </w:t>
      </w:r>
      <w:proofErr w:type="spellStart"/>
      <w:r w:rsidR="00D75620" w:rsidRPr="009919DD">
        <w:rPr>
          <w:rStyle w:val="a5"/>
          <w:rFonts w:ascii="Times New Roman" w:hAnsi="Times New Roman" w:cs="Times New Roman"/>
          <w:i w:val="0"/>
          <w:sz w:val="24"/>
          <w:szCs w:val="24"/>
        </w:rPr>
        <w:t>οτι</w:t>
      </w:r>
      <w:proofErr w:type="spellEnd"/>
      <w:r w:rsidR="00DC71E7" w:rsidRPr="009919DD">
        <w:rPr>
          <w:rStyle w:val="a5"/>
          <w:rFonts w:ascii="Times New Roman" w:hAnsi="Times New Roman" w:cs="Times New Roman"/>
          <w:i w:val="0"/>
          <w:sz w:val="24"/>
          <w:szCs w:val="24"/>
        </w:rPr>
        <w:t xml:space="preserve"> προστατεύει κυρίως την </w:t>
      </w:r>
      <w:r w:rsidRPr="009919DD">
        <w:rPr>
          <w:rStyle w:val="a5"/>
          <w:rFonts w:ascii="Times New Roman" w:hAnsi="Times New Roman" w:cs="Times New Roman"/>
          <w:i w:val="0"/>
          <w:sz w:val="24"/>
          <w:szCs w:val="24"/>
        </w:rPr>
        <w:t>επικρατούσα θρησκεία</w:t>
      </w:r>
      <w:r w:rsidR="00D75620" w:rsidRPr="009919DD">
        <w:rPr>
          <w:rStyle w:val="a5"/>
          <w:rFonts w:ascii="Times New Roman" w:hAnsi="Times New Roman" w:cs="Times New Roman"/>
          <w:i w:val="0"/>
          <w:sz w:val="24"/>
          <w:szCs w:val="24"/>
        </w:rPr>
        <w:t>,</w:t>
      </w:r>
      <w:r w:rsidRPr="009919DD">
        <w:rPr>
          <w:rStyle w:val="a5"/>
          <w:rFonts w:ascii="Times New Roman" w:hAnsi="Times New Roman" w:cs="Times New Roman"/>
          <w:i w:val="0"/>
          <w:sz w:val="24"/>
          <w:szCs w:val="24"/>
        </w:rPr>
        <w:t xml:space="preserve"> </w:t>
      </w:r>
      <w:r w:rsidR="00DC71E7" w:rsidRPr="009919DD">
        <w:rPr>
          <w:rStyle w:val="a5"/>
          <w:rFonts w:ascii="Times New Roman" w:hAnsi="Times New Roman" w:cs="Times New Roman"/>
          <w:i w:val="0"/>
          <w:sz w:val="24"/>
          <w:szCs w:val="24"/>
        </w:rPr>
        <w:t xml:space="preserve">προκαλώντας τον άνισο περιορισμό του δικαιώματος της </w:t>
      </w:r>
      <w:r w:rsidRPr="009919DD">
        <w:rPr>
          <w:rStyle w:val="a5"/>
          <w:rFonts w:ascii="Times New Roman" w:hAnsi="Times New Roman" w:cs="Times New Roman"/>
          <w:i w:val="0"/>
          <w:sz w:val="24"/>
          <w:szCs w:val="24"/>
        </w:rPr>
        <w:t xml:space="preserve"> θρησκευτική</w:t>
      </w:r>
      <w:r w:rsidR="00DC71E7" w:rsidRPr="009919DD">
        <w:rPr>
          <w:rStyle w:val="a5"/>
          <w:rFonts w:ascii="Times New Roman" w:hAnsi="Times New Roman" w:cs="Times New Roman"/>
          <w:i w:val="0"/>
          <w:sz w:val="24"/>
          <w:szCs w:val="24"/>
        </w:rPr>
        <w:t>ς</w:t>
      </w:r>
      <w:r w:rsidRPr="009919DD">
        <w:rPr>
          <w:rStyle w:val="a5"/>
          <w:rFonts w:ascii="Times New Roman" w:hAnsi="Times New Roman" w:cs="Times New Roman"/>
          <w:i w:val="0"/>
          <w:sz w:val="24"/>
          <w:szCs w:val="24"/>
        </w:rPr>
        <w:t xml:space="preserve"> ελευθερία</w:t>
      </w:r>
      <w:r w:rsidR="00DC71E7" w:rsidRPr="009919DD">
        <w:rPr>
          <w:rStyle w:val="a5"/>
          <w:rFonts w:ascii="Times New Roman" w:hAnsi="Times New Roman" w:cs="Times New Roman"/>
          <w:i w:val="0"/>
          <w:sz w:val="24"/>
          <w:szCs w:val="24"/>
        </w:rPr>
        <w:t>ς</w:t>
      </w:r>
      <w:r w:rsidRPr="009919DD">
        <w:rPr>
          <w:rStyle w:val="a5"/>
          <w:rFonts w:ascii="Times New Roman" w:hAnsi="Times New Roman" w:cs="Times New Roman"/>
          <w:i w:val="0"/>
          <w:sz w:val="24"/>
          <w:szCs w:val="24"/>
        </w:rPr>
        <w:t>.</w:t>
      </w:r>
      <w:r w:rsidR="00DC71E7" w:rsidRPr="009919DD">
        <w:rPr>
          <w:rStyle w:val="a5"/>
          <w:rFonts w:ascii="Times New Roman" w:hAnsi="Times New Roman" w:cs="Times New Roman"/>
          <w:i w:val="0"/>
          <w:sz w:val="24"/>
          <w:szCs w:val="24"/>
        </w:rPr>
        <w:t xml:space="preserve"> </w:t>
      </w:r>
    </w:p>
    <w:p w14:paraId="3D167ED8" w14:textId="77777777" w:rsidR="00DC71E7" w:rsidRPr="009919DD" w:rsidRDefault="00DC71E7" w:rsidP="000D1D78">
      <w:pPr>
        <w:spacing w:line="360" w:lineRule="auto"/>
        <w:jc w:val="both"/>
        <w:rPr>
          <w:rStyle w:val="a5"/>
          <w:rFonts w:ascii="Times New Roman" w:hAnsi="Times New Roman" w:cs="Times New Roman"/>
          <w:i w:val="0"/>
          <w:sz w:val="24"/>
          <w:szCs w:val="24"/>
        </w:rPr>
      </w:pPr>
      <w:r w:rsidRPr="009919DD">
        <w:rPr>
          <w:rStyle w:val="a5"/>
          <w:rFonts w:ascii="Times New Roman" w:hAnsi="Times New Roman" w:cs="Times New Roman"/>
          <w:i w:val="0"/>
          <w:sz w:val="24"/>
          <w:szCs w:val="24"/>
        </w:rPr>
        <w:t xml:space="preserve">Ο εκσυγχρονισμός της σχετικής συνταγματικής διάταξης προβάλει απαραίτητος, ιδίως εάν αποδεχθούμε ότι οι κείμενες διατάξεις του ΠΚ και ιδίως αυτές που περιγράφουν τα αδικήματα της εκβίασης και της απάτης, καλύπτουν την προσπάθεια μεταβολής της θρησκευτικής συνείδησης με αθέμιτα μέσα.  </w:t>
      </w:r>
    </w:p>
    <w:p w14:paraId="3D167ED9" w14:textId="77777777" w:rsidR="0038215E" w:rsidRPr="009919DD" w:rsidRDefault="0038215E"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Κατά τη συνταγματική αναθεώρηση του 2019, διατυπώθηκαν προτάσεις για την τροποποίηση ή ακόμη και την κατάργηση της απαγόρευσης του προσηλυτισμού. Οι υποστηρικτές της αλλαγής προ</w:t>
      </w:r>
      <w:r w:rsidR="00DC71E7" w:rsidRPr="009919DD">
        <w:rPr>
          <w:rFonts w:ascii="Times New Roman" w:hAnsi="Times New Roman" w:cs="Times New Roman"/>
          <w:sz w:val="24"/>
          <w:szCs w:val="24"/>
        </w:rPr>
        <w:t>έβαλαν</w:t>
      </w:r>
      <w:r w:rsidRPr="009919DD">
        <w:rPr>
          <w:rFonts w:ascii="Times New Roman" w:hAnsi="Times New Roman" w:cs="Times New Roman"/>
          <w:sz w:val="24"/>
          <w:szCs w:val="24"/>
        </w:rPr>
        <w:t xml:space="preserve"> ότι ο όρος είναι ασαφής και η γενική του απαγόρευση μπορεί να περιορίσει την ελευθερία της έκφρασης. Υπάρχουν όμως φωνές που στηρίζουν τη διατήρηση της απαγόρευσης του προσηλυτισμού ως αναγκαία για την προστασία ευάλωτων ομάδων και της κοινωνικής συνοχής. </w:t>
      </w:r>
    </w:p>
    <w:p w14:paraId="3D167EDA" w14:textId="77777777" w:rsidR="0038215E" w:rsidRPr="009919DD" w:rsidRDefault="00DC71E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Εν τέλει η </w:t>
      </w:r>
      <w:r w:rsidR="0038215E" w:rsidRPr="009919DD">
        <w:rPr>
          <w:rFonts w:ascii="Times New Roman" w:hAnsi="Times New Roman" w:cs="Times New Roman"/>
          <w:sz w:val="24"/>
          <w:szCs w:val="24"/>
        </w:rPr>
        <w:t xml:space="preserve">απαγόρευση του προσηλυτισμού αποτελεί μια σύνθετη νομική και κοινωνική πρόκληση. Μια  συνταγματική αναθεώρηση λοιπόν, θα πρέπει να εξετάσει σοβαρά το ενδεχόμενο διαγραφής της σχετικής διάταξης, φορτισμένης αρνητικά, μη λειτουργικής πια, στο όριο της γραφικότητας,  όταν η διείσδυση στην ανθρώπινη συνείδηση στον σύγχρονο κόσμο του διαδικτύου είναι τόσο εύκολη, αδιόρατη, </w:t>
      </w:r>
      <w:r w:rsidRPr="009919DD">
        <w:rPr>
          <w:rFonts w:ascii="Times New Roman" w:hAnsi="Times New Roman" w:cs="Times New Roman"/>
          <w:sz w:val="24"/>
          <w:szCs w:val="24"/>
        </w:rPr>
        <w:t xml:space="preserve">ανεπαίσθητη και </w:t>
      </w:r>
      <w:r w:rsidR="0038215E" w:rsidRPr="009919DD">
        <w:rPr>
          <w:rFonts w:ascii="Times New Roman" w:hAnsi="Times New Roman" w:cs="Times New Roman"/>
          <w:sz w:val="24"/>
          <w:szCs w:val="24"/>
        </w:rPr>
        <w:t xml:space="preserve">κάποτε καταστροφική. </w:t>
      </w:r>
    </w:p>
    <w:p w14:paraId="3D167EDB" w14:textId="77777777" w:rsidR="00D75620" w:rsidRPr="009919DD" w:rsidRDefault="00D75620" w:rsidP="000D1D78">
      <w:pPr>
        <w:spacing w:line="360" w:lineRule="auto"/>
        <w:jc w:val="both"/>
        <w:rPr>
          <w:rFonts w:ascii="Times New Roman" w:hAnsi="Times New Roman" w:cs="Times New Roman"/>
          <w:sz w:val="24"/>
          <w:szCs w:val="24"/>
        </w:rPr>
      </w:pPr>
    </w:p>
    <w:p w14:paraId="3D167EDC" w14:textId="77777777" w:rsidR="00DC71E7" w:rsidRPr="009919DD" w:rsidRDefault="00DC71E7" w:rsidP="000D1D78">
      <w:pPr>
        <w:spacing w:line="360" w:lineRule="auto"/>
        <w:jc w:val="both"/>
        <w:rPr>
          <w:rFonts w:ascii="Times New Roman" w:hAnsi="Times New Roman" w:cs="Times New Roman"/>
          <w:b/>
          <w:i/>
          <w:sz w:val="24"/>
          <w:szCs w:val="24"/>
        </w:rPr>
      </w:pPr>
      <w:r w:rsidRPr="009919DD">
        <w:rPr>
          <w:rFonts w:ascii="Times New Roman" w:hAnsi="Times New Roman" w:cs="Times New Roman"/>
          <w:b/>
          <w:i/>
          <w:sz w:val="24"/>
          <w:szCs w:val="24"/>
        </w:rPr>
        <w:t xml:space="preserve">Άρθρο 13 § 3 </w:t>
      </w:r>
    </w:p>
    <w:p w14:paraId="3D167EDD" w14:textId="77777777" w:rsidR="00DC71E7" w:rsidRPr="009919DD" w:rsidRDefault="00DC71E7" w:rsidP="000D1D78">
      <w:pPr>
        <w:spacing w:line="360" w:lineRule="auto"/>
        <w:jc w:val="both"/>
        <w:rPr>
          <w:rFonts w:ascii="Times New Roman" w:hAnsi="Times New Roman" w:cs="Times New Roman"/>
          <w:b/>
          <w:i/>
          <w:sz w:val="24"/>
          <w:szCs w:val="24"/>
        </w:rPr>
      </w:pPr>
      <w:r w:rsidRPr="009919DD">
        <w:rPr>
          <w:rFonts w:ascii="Times New Roman" w:hAnsi="Times New Roman" w:cs="Times New Roman"/>
          <w:b/>
          <w:i/>
          <w:color w:val="000000"/>
          <w:sz w:val="24"/>
          <w:szCs w:val="24"/>
          <w:shd w:val="clear" w:color="auto" w:fill="FFFFFF"/>
        </w:rPr>
        <w:lastRenderedPageBreak/>
        <w:t> «</w:t>
      </w:r>
      <w:proofErr w:type="spellStart"/>
      <w:r w:rsidRPr="009919DD">
        <w:rPr>
          <w:rFonts w:ascii="Times New Roman" w:hAnsi="Times New Roman" w:cs="Times New Roman"/>
          <w:b/>
          <w:i/>
          <w:color w:val="000000"/>
          <w:sz w:val="24"/>
          <w:szCs w:val="24"/>
          <w:shd w:val="clear" w:color="auto" w:fill="FFFFFF"/>
        </w:rPr>
        <w:t>Oι</w:t>
      </w:r>
      <w:proofErr w:type="spellEnd"/>
      <w:r w:rsidRPr="009919DD">
        <w:rPr>
          <w:rFonts w:ascii="Times New Roman" w:hAnsi="Times New Roman" w:cs="Times New Roman"/>
          <w:b/>
          <w:i/>
          <w:color w:val="000000"/>
          <w:sz w:val="24"/>
          <w:szCs w:val="24"/>
          <w:shd w:val="clear" w:color="auto" w:fill="FFFFFF"/>
        </w:rPr>
        <w:t xml:space="preserve"> λειτουργοί όλων των γνωστών θρησκειών υπόκεινται στην ίδια εποπτεία της Πολιτείας και στις ίδιες υποχρεώσεις απέναντί της, όπως και οι λειτουργοί της επικρατούσας θρησκείας»</w:t>
      </w:r>
    </w:p>
    <w:p w14:paraId="3D167EDE" w14:textId="77777777" w:rsidR="00DC71E7" w:rsidRPr="009919DD" w:rsidRDefault="00DC71E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Η συνταγματική πρόβλεψη του άρθρου 13 § 3 ορίζει ότι οι λειτουργοί όλων των γνωστών  θρησκειών υπόκεινται στην ίδια  εποπτεία της Πολιτείας και στις ίδιες υποχρεώσεις, όπως και οι λειτουργοί της επικρατούσας θρησκείας. Η αναφορά αυτή ενισχύει έμμεσα αλλά σαφώς τον ρόλο της Ορθόδοξης Εκκλησίας, τοποθετώντας τους λειτουργούς της ως μέτρο σύγκρισης δικαιωμάτων και υποχρεώσεων, διακηρύσσοντας την ίση μεταχείριση για τους λοιπούς θρησκευτικούς λειτουργούς, οι οποίοι ωστόσο δεν απολαμβάνουν και τα ίδια δικαιώματα με τους λειτουργούς της επικρατούσας θρησκείας.</w:t>
      </w:r>
      <w:r w:rsidR="00F03197" w:rsidRPr="009919DD">
        <w:rPr>
          <w:rFonts w:ascii="Times New Roman" w:hAnsi="Times New Roman" w:cs="Times New Roman"/>
          <w:sz w:val="24"/>
          <w:szCs w:val="24"/>
        </w:rPr>
        <w:t xml:space="preserve"> Δημιουργείται προφανώς, κατά τον τρόπο αυτό, ένα πεδίο ανισότητας. </w:t>
      </w:r>
    </w:p>
    <w:p w14:paraId="3D167EDF" w14:textId="77777777" w:rsidR="00F03197" w:rsidRPr="009919DD" w:rsidRDefault="00F0319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Η Πολιτεία ως εποπτεύουσα τους λειτουργούς όλων των γνωστών θρησκειών, ρυθμίζει και το καθεστώς όσων εξ αυτών είναι πολίτες τρίτων χωρών, οι οποίοι παραμένουν στη χώρα με ειδική άδεια εισόδου και έκδοση σχετικής άδειας διαμονής από την Αποκεντρωμένη Διοίκηση, για εργασία ειδικού σκοπού, ανανεωνόμενη ανά τριετία.</w:t>
      </w:r>
      <w:r w:rsidRPr="009919DD">
        <w:rPr>
          <w:rStyle w:val="a7"/>
          <w:rFonts w:ascii="Times New Roman" w:hAnsi="Times New Roman" w:cs="Times New Roman"/>
          <w:sz w:val="24"/>
          <w:szCs w:val="24"/>
        </w:rPr>
        <w:footnoteReference w:id="10"/>
      </w:r>
      <w:r w:rsidRPr="009919DD">
        <w:rPr>
          <w:rFonts w:ascii="Times New Roman" w:hAnsi="Times New Roman" w:cs="Times New Roman"/>
          <w:sz w:val="24"/>
          <w:szCs w:val="24"/>
        </w:rPr>
        <w:t xml:space="preserve"> </w:t>
      </w:r>
    </w:p>
    <w:p w14:paraId="3D167EE0" w14:textId="77777777" w:rsidR="00D42EFC" w:rsidRPr="009919DD" w:rsidRDefault="00DC71E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Κατά τις συνταγματικές αναθεωρήσεις, ιδίως αυτή του 2019, προτάθηκε η πλήρης διαγραφή της έννοιας της επικρατούσας θρησκείας και η ρητή καθιέρωση της ουδετερότητας του κράτους έναντι </w:t>
      </w:r>
      <w:r w:rsidR="00950FD6" w:rsidRPr="009919DD">
        <w:rPr>
          <w:rFonts w:ascii="Times New Roman" w:hAnsi="Times New Roman" w:cs="Times New Roman"/>
          <w:sz w:val="24"/>
          <w:szCs w:val="24"/>
        </w:rPr>
        <w:t xml:space="preserve">όλων </w:t>
      </w:r>
      <w:r w:rsidRPr="009919DD">
        <w:rPr>
          <w:rFonts w:ascii="Times New Roman" w:hAnsi="Times New Roman" w:cs="Times New Roman"/>
          <w:sz w:val="24"/>
          <w:szCs w:val="24"/>
        </w:rPr>
        <w:t xml:space="preserve">των θρησκειών. Υποστηρίζοντας την μεταβολή της σχετικής διατύπωσης, μπορούμε να αποδεχθούμε την απαλοιφή του προσδιορισμού «γνωστών», υπό το πρίσμα της προηγούμενης αναφοράς περί «γνωστής θρησκείας» και να απομακρυνθεί το κράτος από θεσμικές θρησκευτικές προτιμήσεις. </w:t>
      </w:r>
    </w:p>
    <w:p w14:paraId="3D167EE1" w14:textId="77777777" w:rsidR="00DC71E7" w:rsidRPr="009919DD" w:rsidRDefault="00DC71E7"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διασφάλιση της  πλήρους  ουδετερότητας του κράτους ως ζητούμενου και της  ίσης μεταχείρισης όλων των θρησκευτικών κοινοτήτων,  θα απαιτούσε τη ρητή επεξήγηση του όρου «επικρατούσα» ως της θρησκείας της πλειονότητας των πολιτών, </w:t>
      </w:r>
      <w:r w:rsidR="00950FD6" w:rsidRPr="009919DD">
        <w:rPr>
          <w:rFonts w:ascii="Times New Roman" w:hAnsi="Times New Roman" w:cs="Times New Roman"/>
          <w:sz w:val="24"/>
          <w:szCs w:val="24"/>
        </w:rPr>
        <w:t>έχουσα αυστηρά αριθμητικό και όχι ποιοτικό χαρακτήρα.  Η μόνον</w:t>
      </w:r>
      <w:r w:rsidRPr="009919DD">
        <w:rPr>
          <w:rFonts w:ascii="Times New Roman" w:hAnsi="Times New Roman" w:cs="Times New Roman"/>
          <w:sz w:val="24"/>
          <w:szCs w:val="24"/>
        </w:rPr>
        <w:t xml:space="preserve"> αριθμητική και καθόλου ποιοτική αποδοχή του περιεχομένου της λέξης</w:t>
      </w:r>
      <w:r w:rsidR="00950FD6" w:rsidRPr="009919DD">
        <w:rPr>
          <w:rFonts w:ascii="Times New Roman" w:hAnsi="Times New Roman" w:cs="Times New Roman"/>
          <w:sz w:val="24"/>
          <w:szCs w:val="24"/>
        </w:rPr>
        <w:t xml:space="preserve">, </w:t>
      </w:r>
      <w:r w:rsidRPr="009919DD">
        <w:rPr>
          <w:rFonts w:ascii="Times New Roman" w:hAnsi="Times New Roman" w:cs="Times New Roman"/>
          <w:sz w:val="24"/>
          <w:szCs w:val="24"/>
        </w:rPr>
        <w:t xml:space="preserve"> είναι εξάλλου συνεπής τόσο με την επιστημονική προσέγγιση, όσο και με την νομολογιακή αποδοχή. </w:t>
      </w:r>
    </w:p>
    <w:p w14:paraId="3D167EE2" w14:textId="77777777" w:rsidR="00D42EFC" w:rsidRPr="009919DD" w:rsidRDefault="00D42EFC" w:rsidP="000D1D78">
      <w:pPr>
        <w:spacing w:line="360" w:lineRule="auto"/>
        <w:jc w:val="both"/>
        <w:rPr>
          <w:rFonts w:ascii="Times New Roman" w:hAnsi="Times New Roman" w:cs="Times New Roman"/>
          <w:sz w:val="24"/>
          <w:szCs w:val="24"/>
        </w:rPr>
      </w:pPr>
    </w:p>
    <w:p w14:paraId="3D167EE3" w14:textId="77777777" w:rsidR="00D42EFC" w:rsidRPr="009919DD" w:rsidRDefault="00D42EFC" w:rsidP="000D1D78">
      <w:pPr>
        <w:spacing w:line="360" w:lineRule="auto"/>
        <w:jc w:val="both"/>
        <w:rPr>
          <w:rFonts w:ascii="Times New Roman" w:hAnsi="Times New Roman" w:cs="Times New Roman"/>
          <w:b/>
          <w:i/>
          <w:sz w:val="24"/>
          <w:szCs w:val="24"/>
        </w:rPr>
      </w:pPr>
      <w:r w:rsidRPr="009919DD">
        <w:rPr>
          <w:rFonts w:ascii="Times New Roman" w:hAnsi="Times New Roman" w:cs="Times New Roman"/>
          <w:b/>
          <w:i/>
          <w:sz w:val="24"/>
          <w:szCs w:val="24"/>
        </w:rPr>
        <w:t>Άρθρο 13 § 5</w:t>
      </w:r>
    </w:p>
    <w:p w14:paraId="3D167EE4" w14:textId="77777777" w:rsidR="00D42EFC" w:rsidRPr="009919DD" w:rsidRDefault="00D42EFC" w:rsidP="000D1D78">
      <w:pPr>
        <w:pStyle w:val="Web"/>
        <w:spacing w:before="0" w:beforeAutospacing="0" w:after="200" w:afterAutospacing="0" w:line="360" w:lineRule="auto"/>
        <w:jc w:val="both"/>
        <w:rPr>
          <w:b/>
          <w:i/>
        </w:rPr>
      </w:pPr>
      <w:r w:rsidRPr="009919DD">
        <w:rPr>
          <w:b/>
          <w:i/>
        </w:rPr>
        <w:t>«</w:t>
      </w:r>
      <w:proofErr w:type="spellStart"/>
      <w:r w:rsidRPr="009919DD">
        <w:rPr>
          <w:b/>
          <w:i/>
        </w:rPr>
        <w:t>Kανένας</w:t>
      </w:r>
      <w:proofErr w:type="spellEnd"/>
      <w:r w:rsidRPr="009919DD">
        <w:rPr>
          <w:b/>
          <w:i/>
        </w:rPr>
        <w:t xml:space="preserve"> όρκος δεν επιβάλλεται χωρίς νόμο, που ορίζει και τον τύπο του»</w:t>
      </w:r>
    </w:p>
    <w:p w14:paraId="3D167EE5" w14:textId="77777777" w:rsidR="00686F72"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διάταξη αυτή θεσπίζει ότι η επιβολή όρκου απαιτεί ρητή νομοθετική ρύθμιση, διασφαλίζοντας πως δεν επιβάλλεται κανενός είδους όρκος αυθαίρετα ή κατά τρόπο που προσβάλλει τη θρησκευτική συνείδηση. Επομένως η πρόβλεψη </w:t>
      </w:r>
      <w:r w:rsidR="00686F72" w:rsidRPr="009919DD">
        <w:rPr>
          <w:rFonts w:ascii="Times New Roman" w:hAnsi="Times New Roman" w:cs="Times New Roman"/>
          <w:sz w:val="24"/>
          <w:szCs w:val="24"/>
        </w:rPr>
        <w:t xml:space="preserve">καθιστά αναγκαία την </w:t>
      </w:r>
      <w:r w:rsidRPr="009919DD">
        <w:rPr>
          <w:rFonts w:ascii="Times New Roman" w:hAnsi="Times New Roman" w:cs="Times New Roman"/>
          <w:sz w:val="24"/>
          <w:szCs w:val="24"/>
        </w:rPr>
        <w:t xml:space="preserve">τήρηση της αρχής της νομιμότητας, </w:t>
      </w:r>
      <w:r w:rsidR="00686F72" w:rsidRPr="009919DD">
        <w:rPr>
          <w:rFonts w:ascii="Times New Roman" w:hAnsi="Times New Roman" w:cs="Times New Roman"/>
          <w:sz w:val="24"/>
          <w:szCs w:val="24"/>
        </w:rPr>
        <w:t xml:space="preserve">συνακόλουθα καταστέλλει την </w:t>
      </w:r>
      <w:r w:rsidRPr="009919DD">
        <w:rPr>
          <w:rFonts w:ascii="Times New Roman" w:hAnsi="Times New Roman" w:cs="Times New Roman"/>
          <w:sz w:val="24"/>
          <w:szCs w:val="24"/>
        </w:rPr>
        <w:t xml:space="preserve"> όποια</w:t>
      </w:r>
      <w:r w:rsidR="00686F72" w:rsidRPr="009919DD">
        <w:rPr>
          <w:rFonts w:ascii="Times New Roman" w:hAnsi="Times New Roman" w:cs="Times New Roman"/>
          <w:sz w:val="24"/>
          <w:szCs w:val="24"/>
        </w:rPr>
        <w:t xml:space="preserve"> τυχόν</w:t>
      </w:r>
      <w:r w:rsidRPr="009919DD">
        <w:rPr>
          <w:rFonts w:ascii="Times New Roman" w:hAnsi="Times New Roman" w:cs="Times New Roman"/>
          <w:sz w:val="24"/>
          <w:szCs w:val="24"/>
        </w:rPr>
        <w:t xml:space="preserve"> σκέψη αυθαιρεσίας. </w:t>
      </w:r>
    </w:p>
    <w:p w14:paraId="3D167EE6" w14:textId="77777777" w:rsidR="00D42EFC"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ρύθμιση της ορκοδοσίας αποτελεί εξ ορισμού πεδίο άσκησης της κρατικής εξουσίας και δεν επαφίεται στην,  δια της θρησκευτικής αντίληψης, πρόβλεψη. </w:t>
      </w:r>
    </w:p>
    <w:p w14:paraId="3D167EE7" w14:textId="77777777" w:rsidR="00D42EFC"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Ασφαλώς ο τύπος της ορκοδοσίας αποτελεί και θρησκευτική δήλωση, η οποία στο πλαίσιο της άσκησης του δικαιώματος της θρησκευτικής ελευθερίας, θα μπορούσε να εκληφθεί ως παραβίασή του. Ενδεχομένως θα απαιτηθεί η δήλωση του ένθεου, άθεου</w:t>
      </w:r>
      <w:r w:rsidR="00686F72" w:rsidRPr="009919DD">
        <w:rPr>
          <w:rStyle w:val="a7"/>
          <w:rFonts w:ascii="Times New Roman" w:hAnsi="Times New Roman" w:cs="Times New Roman"/>
          <w:sz w:val="24"/>
          <w:szCs w:val="24"/>
        </w:rPr>
        <w:footnoteReference w:id="11"/>
      </w:r>
      <w:r w:rsidRPr="009919DD">
        <w:rPr>
          <w:rFonts w:ascii="Times New Roman" w:hAnsi="Times New Roman" w:cs="Times New Roman"/>
          <w:sz w:val="24"/>
          <w:szCs w:val="24"/>
        </w:rPr>
        <w:t xml:space="preserve"> ή άθρησκου φρονήματος, </w:t>
      </w:r>
      <w:r w:rsidR="00686F72" w:rsidRPr="009919DD">
        <w:rPr>
          <w:rFonts w:ascii="Times New Roman" w:hAnsi="Times New Roman" w:cs="Times New Roman"/>
          <w:sz w:val="24"/>
          <w:szCs w:val="24"/>
        </w:rPr>
        <w:t xml:space="preserve">συνθήκη που παραβιάζει </w:t>
      </w:r>
      <w:r w:rsidRPr="009919DD">
        <w:rPr>
          <w:rFonts w:ascii="Times New Roman" w:hAnsi="Times New Roman" w:cs="Times New Roman"/>
          <w:sz w:val="24"/>
          <w:szCs w:val="24"/>
        </w:rPr>
        <w:t>τη</w:t>
      </w:r>
      <w:r w:rsidR="00686F72" w:rsidRPr="009919DD">
        <w:rPr>
          <w:rFonts w:ascii="Times New Roman" w:hAnsi="Times New Roman" w:cs="Times New Roman"/>
          <w:sz w:val="24"/>
          <w:szCs w:val="24"/>
        </w:rPr>
        <w:t>ν</w:t>
      </w:r>
      <w:r w:rsidRPr="009919DD">
        <w:rPr>
          <w:rFonts w:ascii="Times New Roman" w:hAnsi="Times New Roman" w:cs="Times New Roman"/>
          <w:sz w:val="24"/>
          <w:szCs w:val="24"/>
        </w:rPr>
        <w:t xml:space="preserve"> θρησκευτική συνείδηση</w:t>
      </w:r>
      <w:r w:rsidR="00686F72" w:rsidRPr="009919DD">
        <w:rPr>
          <w:rFonts w:ascii="Times New Roman" w:hAnsi="Times New Roman" w:cs="Times New Roman"/>
          <w:sz w:val="24"/>
          <w:szCs w:val="24"/>
        </w:rPr>
        <w:t xml:space="preserve">, όπως και στην περίπτωση που </w:t>
      </w:r>
      <w:r w:rsidRPr="009919DD">
        <w:rPr>
          <w:rFonts w:ascii="Times New Roman" w:hAnsi="Times New Roman" w:cs="Times New Roman"/>
          <w:sz w:val="24"/>
          <w:szCs w:val="24"/>
        </w:rPr>
        <w:t xml:space="preserve">το θρήσκευμα απαγορεύει την ορκοδοσία, ενώ αυτή </w:t>
      </w:r>
      <w:r w:rsidR="00686F72" w:rsidRPr="009919DD">
        <w:rPr>
          <w:rFonts w:ascii="Times New Roman" w:hAnsi="Times New Roman" w:cs="Times New Roman"/>
          <w:sz w:val="24"/>
          <w:szCs w:val="24"/>
        </w:rPr>
        <w:t xml:space="preserve">επιβάλλεται και </w:t>
      </w:r>
      <w:r w:rsidRPr="009919DD">
        <w:rPr>
          <w:rFonts w:ascii="Times New Roman" w:hAnsi="Times New Roman" w:cs="Times New Roman"/>
          <w:sz w:val="24"/>
          <w:szCs w:val="24"/>
        </w:rPr>
        <w:t xml:space="preserve">απαιτείται.   </w:t>
      </w:r>
    </w:p>
    <w:p w14:paraId="3D167EE8" w14:textId="77777777" w:rsidR="00686F72"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πρόνοια της επιλογής του τύπου του όρκου </w:t>
      </w:r>
      <w:r w:rsidR="00686F72" w:rsidRPr="009919DD">
        <w:rPr>
          <w:rFonts w:ascii="Times New Roman" w:hAnsi="Times New Roman" w:cs="Times New Roman"/>
          <w:sz w:val="24"/>
          <w:szCs w:val="24"/>
        </w:rPr>
        <w:t xml:space="preserve">στην δικαστηριακή πρακτική </w:t>
      </w:r>
      <w:r w:rsidRPr="009919DD">
        <w:rPr>
          <w:rFonts w:ascii="Times New Roman" w:hAnsi="Times New Roman" w:cs="Times New Roman"/>
          <w:sz w:val="24"/>
          <w:szCs w:val="24"/>
        </w:rPr>
        <w:t xml:space="preserve">ήδη </w:t>
      </w:r>
      <w:r w:rsidR="00686F72" w:rsidRPr="009919DD">
        <w:rPr>
          <w:rFonts w:ascii="Times New Roman" w:hAnsi="Times New Roman" w:cs="Times New Roman"/>
          <w:sz w:val="24"/>
          <w:szCs w:val="24"/>
        </w:rPr>
        <w:t>είναι υφιστάμενη. Σ</w:t>
      </w:r>
      <w:r w:rsidRPr="009919DD">
        <w:rPr>
          <w:rFonts w:ascii="Times New Roman" w:hAnsi="Times New Roman" w:cs="Times New Roman"/>
          <w:sz w:val="24"/>
          <w:szCs w:val="24"/>
        </w:rPr>
        <w:t xml:space="preserve">την πολιτική δίκη ο μάρτυρας δεν υποχρεούται σε δήλωση της θρησκείας του. Ερωτάται για τον τύπο του όρκου που επιθυμεί να δώσει, θρησκευτικό ή πολιτικό και σε περίπτωση θρησκευτικού πέραν του χριστιανικού δόγματος, δίνει κατά τη θρησκεία του. Αντιστοίχως ο πολιτικός όρκος δίνεται στην τιμή και τη συνείδηση του προσώπου.  </w:t>
      </w:r>
    </w:p>
    <w:p w14:paraId="3D167EE9" w14:textId="77777777" w:rsidR="00D42EFC"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Στην ποινική δίκη</w:t>
      </w:r>
      <w:r w:rsidRPr="009919DD">
        <w:rPr>
          <w:rFonts w:ascii="Times New Roman" w:hAnsi="Times New Roman" w:cs="Times New Roman"/>
          <w:color w:val="565656"/>
          <w:sz w:val="24"/>
          <w:szCs w:val="24"/>
        </w:rPr>
        <w:t xml:space="preserve"> </w:t>
      </w:r>
      <w:r w:rsidRPr="009919DD">
        <w:rPr>
          <w:rFonts w:ascii="Times New Roman" w:hAnsi="Times New Roman" w:cs="Times New Roman"/>
          <w:sz w:val="24"/>
          <w:szCs w:val="24"/>
        </w:rPr>
        <w:t xml:space="preserve">ο ένθεος </w:t>
      </w:r>
      <w:r w:rsidR="00686F72" w:rsidRPr="009919DD">
        <w:rPr>
          <w:rFonts w:ascii="Times New Roman" w:hAnsi="Times New Roman" w:cs="Times New Roman"/>
          <w:sz w:val="24"/>
          <w:szCs w:val="24"/>
        </w:rPr>
        <w:t xml:space="preserve">δηλώνει ότι </w:t>
      </w:r>
      <w:r w:rsidRPr="009919DD">
        <w:rPr>
          <w:rFonts w:ascii="Times New Roman" w:hAnsi="Times New Roman" w:cs="Times New Roman"/>
          <w:sz w:val="24"/>
          <w:szCs w:val="24"/>
        </w:rPr>
        <w:t>«Ορκίζομαι ενώπιον του Θεού να πω όλη την αλήθεια και μόνο την αλήθεια, χωρίς να προσθέσω ούτε να κρύψω τίποτε» αναλόγως του τύπου της θρησκείας και του δόγματός του και ο με πολιτικό όρκο ομνύων  δηλώνει  ότι «επικαλούμενος την τιμή και τη συνείδηση μου  θα πω όλη την αλήθεια και μόνο την αλήθεια, χωρίς να προσθέσω ούτε να κρύψω τίποτε».</w:t>
      </w:r>
    </w:p>
    <w:p w14:paraId="3D167EEA" w14:textId="77777777" w:rsidR="00D42EFC"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lastRenderedPageBreak/>
        <w:t>Η εφαρμογή της διάταξης έχει ως αποτέλεσμα την υποχρέωση της Διοίκησης και των δικαστηρίων να προσφέρουν επιλογή μεταξύ θρησκευτικού και πολιτικού όρκου. Επιπλέον, ενδυναμώνεται η συνταγματική προστασία όσων δηλώνουν αντίρρηση συνείδησης ή ασπάζονται άλλες θρησκείες. Η νομολογία του ΕΔΔΑ έχει επανειλημμένα κρίνει ότι η επιβολή θρησκευτικού όρκου χωρίς εναλλακτική δυνατότητα παραβιάζει την ΕΣΔΑ.</w:t>
      </w:r>
    </w:p>
    <w:p w14:paraId="3D167EEB" w14:textId="77777777" w:rsidR="00D42EFC" w:rsidRPr="009919DD" w:rsidRDefault="00D42EFC"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Η πρόβλεψη περί όρκου ενισχύει τη σταδιακή μετάβαση του κράτους σε μια πιο ουδέτερη στάση έναντι των θρησκειών και η καθιέρωση του πολιτικού όρκου ως ισότιμου ή προεπιλεγμένου μηχανισμού θα μπορούσε να αποτελέσει ένα επιπλέον βήμα προς τον </w:t>
      </w:r>
      <w:proofErr w:type="spellStart"/>
      <w:r w:rsidRPr="009919DD">
        <w:rPr>
          <w:rFonts w:ascii="Times New Roman" w:hAnsi="Times New Roman" w:cs="Times New Roman"/>
          <w:sz w:val="24"/>
          <w:szCs w:val="24"/>
        </w:rPr>
        <w:t>εκκοσμικευμένο</w:t>
      </w:r>
      <w:proofErr w:type="spellEnd"/>
      <w:r w:rsidRPr="009919DD">
        <w:rPr>
          <w:rFonts w:ascii="Times New Roman" w:hAnsi="Times New Roman" w:cs="Times New Roman"/>
          <w:sz w:val="24"/>
          <w:szCs w:val="24"/>
        </w:rPr>
        <w:t xml:space="preserve"> χαρακτήρα του κράτους</w:t>
      </w:r>
      <w:r w:rsidR="00686F72" w:rsidRPr="009919DD">
        <w:rPr>
          <w:rStyle w:val="a7"/>
          <w:rFonts w:ascii="Times New Roman" w:hAnsi="Times New Roman" w:cs="Times New Roman"/>
          <w:sz w:val="24"/>
          <w:szCs w:val="24"/>
        </w:rPr>
        <w:footnoteReference w:id="12"/>
      </w:r>
      <w:r w:rsidRPr="009919DD">
        <w:rPr>
          <w:rFonts w:ascii="Times New Roman" w:hAnsi="Times New Roman" w:cs="Times New Roman"/>
          <w:sz w:val="24"/>
          <w:szCs w:val="24"/>
        </w:rPr>
        <w:t>.</w:t>
      </w:r>
    </w:p>
    <w:p w14:paraId="3D167EEC" w14:textId="77777777" w:rsidR="00D75620" w:rsidRPr="009919DD" w:rsidRDefault="00D75620" w:rsidP="000D1D78">
      <w:pPr>
        <w:spacing w:line="360" w:lineRule="auto"/>
        <w:jc w:val="both"/>
        <w:rPr>
          <w:rFonts w:ascii="Times New Roman" w:hAnsi="Times New Roman" w:cs="Times New Roman"/>
          <w:sz w:val="24"/>
          <w:szCs w:val="24"/>
        </w:rPr>
      </w:pPr>
      <w:r w:rsidRPr="009919DD">
        <w:rPr>
          <w:rFonts w:ascii="Times New Roman" w:hAnsi="Times New Roman" w:cs="Times New Roman"/>
          <w:sz w:val="24"/>
          <w:szCs w:val="24"/>
        </w:rPr>
        <w:t xml:space="preserve">Ως υφιστάμενο ζήτημα παραμένει βεβαίως η ορκοδοσία του Προέδρου της Δημοκρατίας, η οποία κατά το άρθρο 33 § 2Σ προβλέπει όρκο που τεκμαίρει την ιδιότητα του Προέδρου ως ορθοδόξου χριστιανού. </w:t>
      </w:r>
    </w:p>
    <w:p w14:paraId="3D167EF2" w14:textId="77777777" w:rsidR="00891189" w:rsidRDefault="00891189" w:rsidP="000D1D78">
      <w:pPr>
        <w:spacing w:line="360" w:lineRule="auto"/>
        <w:jc w:val="both"/>
      </w:pPr>
    </w:p>
    <w:sectPr w:rsidR="00891189" w:rsidSect="007642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D694" w14:textId="77777777" w:rsidR="00681FA3" w:rsidRDefault="00681FA3" w:rsidP="00F66319">
      <w:pPr>
        <w:spacing w:after="0" w:line="240" w:lineRule="auto"/>
      </w:pPr>
      <w:r>
        <w:separator/>
      </w:r>
    </w:p>
  </w:endnote>
  <w:endnote w:type="continuationSeparator" w:id="0">
    <w:p w14:paraId="758F397C" w14:textId="77777777" w:rsidR="00681FA3" w:rsidRDefault="00681FA3" w:rsidP="00F66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CA1BF" w14:textId="77777777" w:rsidR="00681FA3" w:rsidRDefault="00681FA3" w:rsidP="00F66319">
      <w:pPr>
        <w:spacing w:after="0" w:line="240" w:lineRule="auto"/>
      </w:pPr>
      <w:r>
        <w:separator/>
      </w:r>
    </w:p>
  </w:footnote>
  <w:footnote w:type="continuationSeparator" w:id="0">
    <w:p w14:paraId="7A635822" w14:textId="77777777" w:rsidR="00681FA3" w:rsidRDefault="00681FA3" w:rsidP="00F66319">
      <w:pPr>
        <w:spacing w:after="0" w:line="240" w:lineRule="auto"/>
      </w:pPr>
      <w:r>
        <w:continuationSeparator/>
      </w:r>
    </w:p>
  </w:footnote>
  <w:footnote w:id="1">
    <w:p w14:paraId="3D167EF7" w14:textId="77777777" w:rsidR="00F66319" w:rsidRPr="000D1D78" w:rsidRDefault="00F66319"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Βλ. Ι.Μ. Κονιδάρης, </w:t>
      </w:r>
      <w:r w:rsidR="00972374" w:rsidRPr="000D1D78">
        <w:rPr>
          <w:rFonts w:ascii="Times New Roman" w:hAnsi="Times New Roman" w:cs="Times New Roman"/>
        </w:rPr>
        <w:t xml:space="preserve">(Με τη συνεργασία Γ.Ι. Ανδρουτσόπουλου) </w:t>
      </w:r>
      <w:r w:rsidRPr="000D1D78">
        <w:rPr>
          <w:rFonts w:ascii="Times New Roman" w:hAnsi="Times New Roman" w:cs="Times New Roman"/>
        </w:rPr>
        <w:t xml:space="preserve">Μαθήματα Εκκλησιαστικού Δικαίου, Εκδόσεις </w:t>
      </w:r>
      <w:proofErr w:type="spellStart"/>
      <w:r w:rsidRPr="000D1D78">
        <w:rPr>
          <w:rFonts w:ascii="Times New Roman" w:hAnsi="Times New Roman" w:cs="Times New Roman"/>
        </w:rPr>
        <w:t>Σάκκουλα</w:t>
      </w:r>
      <w:proofErr w:type="spellEnd"/>
      <w:r w:rsidRPr="000D1D78">
        <w:rPr>
          <w:rFonts w:ascii="Times New Roman" w:hAnsi="Times New Roman" w:cs="Times New Roman"/>
        </w:rPr>
        <w:t xml:space="preserve"> </w:t>
      </w:r>
      <w:r w:rsidR="003E41EB" w:rsidRPr="000D1D78">
        <w:rPr>
          <w:rFonts w:ascii="Times New Roman" w:hAnsi="Times New Roman" w:cs="Times New Roman"/>
        </w:rPr>
        <w:t xml:space="preserve">2020, </w:t>
      </w:r>
      <w:r w:rsidRPr="000D1D78">
        <w:rPr>
          <w:rFonts w:ascii="Times New Roman" w:hAnsi="Times New Roman" w:cs="Times New Roman"/>
        </w:rPr>
        <w:t>σελ. 71επ.</w:t>
      </w:r>
    </w:p>
  </w:footnote>
  <w:footnote w:id="2">
    <w:p w14:paraId="3D167EF8" w14:textId="77777777" w:rsidR="008D690E" w:rsidRPr="000D1D78" w:rsidRDefault="008D690E" w:rsidP="000D1D78">
      <w:pPr>
        <w:pStyle w:val="a6"/>
        <w:spacing w:line="276" w:lineRule="auto"/>
        <w:jc w:val="both"/>
        <w:rPr>
          <w:rFonts w:ascii="Times New Roman" w:hAnsi="Times New Roman" w:cs="Times New Roman"/>
          <w:lang w:val="en-US"/>
        </w:rPr>
      </w:pPr>
      <w:r w:rsidRPr="000D1D78">
        <w:rPr>
          <w:rStyle w:val="a7"/>
          <w:rFonts w:ascii="Times New Roman" w:hAnsi="Times New Roman" w:cs="Times New Roman"/>
        </w:rPr>
        <w:footnoteRef/>
      </w:r>
      <w:r w:rsidRPr="000D1D78">
        <w:rPr>
          <w:rFonts w:ascii="Times New Roman" w:hAnsi="Times New Roman" w:cs="Times New Roman"/>
          <w:lang w:val="en-US"/>
        </w:rPr>
        <w:t xml:space="preserve"> </w:t>
      </w:r>
      <w:r w:rsidRPr="000D1D78">
        <w:rPr>
          <w:rFonts w:ascii="Times New Roman" w:hAnsi="Times New Roman" w:cs="Times New Roman"/>
          <w:lang w:val="en-GB"/>
        </w:rPr>
        <w:t xml:space="preserve">Metropolitan Church of Bessarabia </w:t>
      </w:r>
      <w:r w:rsidRPr="000D1D78">
        <w:rPr>
          <w:rFonts w:ascii="Times New Roman" w:hAnsi="Times New Roman" w:cs="Times New Roman"/>
        </w:rPr>
        <w:t>κατά</w:t>
      </w:r>
      <w:r w:rsidRPr="000D1D78">
        <w:rPr>
          <w:rFonts w:ascii="Times New Roman" w:hAnsi="Times New Roman" w:cs="Times New Roman"/>
          <w:lang w:val="en-US"/>
        </w:rPr>
        <w:t xml:space="preserve"> </w:t>
      </w:r>
      <w:r w:rsidRPr="000D1D78">
        <w:rPr>
          <w:rFonts w:ascii="Times New Roman" w:hAnsi="Times New Roman" w:cs="Times New Roman"/>
        </w:rPr>
        <w:t>Μολδαβίας</w:t>
      </w:r>
      <w:r w:rsidRPr="000D1D78">
        <w:rPr>
          <w:rFonts w:ascii="Times New Roman" w:hAnsi="Times New Roman" w:cs="Times New Roman"/>
          <w:lang w:val="en-US"/>
        </w:rPr>
        <w:t xml:space="preserve">, </w:t>
      </w:r>
      <w:r w:rsidRPr="000D1D78">
        <w:rPr>
          <w:rFonts w:ascii="Times New Roman" w:hAnsi="Times New Roman" w:cs="Times New Roman"/>
        </w:rPr>
        <w:t>ΕΔΔΑ</w:t>
      </w:r>
      <w:r w:rsidRPr="000D1D78">
        <w:rPr>
          <w:rFonts w:ascii="Times New Roman" w:hAnsi="Times New Roman" w:cs="Times New Roman"/>
          <w:lang w:val="en-US"/>
        </w:rPr>
        <w:t xml:space="preserve"> 14,12.2001</w:t>
      </w:r>
    </w:p>
  </w:footnote>
  <w:footnote w:id="3">
    <w:p w14:paraId="3D167EF9" w14:textId="77777777" w:rsidR="003E41EB" w:rsidRPr="000D1D78" w:rsidRDefault="003E41EB"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Βλ. Α</w:t>
      </w:r>
      <w:r w:rsidR="0038215E" w:rsidRPr="000D1D78">
        <w:rPr>
          <w:rFonts w:ascii="Times New Roman" w:hAnsi="Times New Roman" w:cs="Times New Roman"/>
        </w:rPr>
        <w:t>χ</w:t>
      </w:r>
      <w:r w:rsidRPr="000D1D78">
        <w:rPr>
          <w:rFonts w:ascii="Times New Roman" w:hAnsi="Times New Roman" w:cs="Times New Roman"/>
        </w:rPr>
        <w:t xml:space="preserve">. </w:t>
      </w:r>
      <w:proofErr w:type="spellStart"/>
      <w:r w:rsidRPr="000D1D78">
        <w:rPr>
          <w:rFonts w:ascii="Times New Roman" w:hAnsi="Times New Roman" w:cs="Times New Roman"/>
        </w:rPr>
        <w:t>Αιμιλιανίδης</w:t>
      </w:r>
      <w:proofErr w:type="spellEnd"/>
      <w:r w:rsidRPr="000D1D78">
        <w:rPr>
          <w:rFonts w:ascii="Times New Roman" w:hAnsi="Times New Roman" w:cs="Times New Roman"/>
        </w:rPr>
        <w:t xml:space="preserve">, Σύνταγμα, Ερμηνεία </w:t>
      </w:r>
      <w:proofErr w:type="spellStart"/>
      <w:r w:rsidRPr="000D1D78">
        <w:rPr>
          <w:rFonts w:ascii="Times New Roman" w:hAnsi="Times New Roman" w:cs="Times New Roman"/>
        </w:rPr>
        <w:t>κατ΄άρθρο</w:t>
      </w:r>
      <w:proofErr w:type="spellEnd"/>
      <w:r w:rsidRPr="000D1D78">
        <w:rPr>
          <w:rFonts w:ascii="Times New Roman" w:hAnsi="Times New Roman" w:cs="Times New Roman"/>
        </w:rPr>
        <w:t xml:space="preserve">, </w:t>
      </w:r>
      <w:r w:rsidR="0038215E" w:rsidRPr="000D1D78">
        <w:rPr>
          <w:rFonts w:ascii="Times New Roman" w:hAnsi="Times New Roman" w:cs="Times New Roman"/>
        </w:rPr>
        <w:t>Ιανουάριος 2023, ηλεκτρονική έκδοση</w:t>
      </w:r>
      <w:r w:rsidRPr="000D1D78">
        <w:rPr>
          <w:rFonts w:ascii="Times New Roman" w:hAnsi="Times New Roman" w:cs="Times New Roman"/>
        </w:rPr>
        <w:t xml:space="preserve"> </w:t>
      </w:r>
    </w:p>
  </w:footnote>
  <w:footnote w:id="4">
    <w:p w14:paraId="3D167EFA" w14:textId="77777777" w:rsidR="00B75931" w:rsidRPr="000D1D78" w:rsidRDefault="00B75931"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Ενδεικτικώς: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2139/1975, </w:t>
      </w:r>
      <w:proofErr w:type="spellStart"/>
      <w:r w:rsidRPr="000D1D78">
        <w:rPr>
          <w:rFonts w:ascii="Times New Roman" w:hAnsi="Times New Roman" w:cs="Times New Roman"/>
        </w:rPr>
        <w:t>ΝοΒ</w:t>
      </w:r>
      <w:proofErr w:type="spellEnd"/>
      <w:r w:rsidRPr="000D1D78">
        <w:rPr>
          <w:rFonts w:ascii="Times New Roman" w:hAnsi="Times New Roman" w:cs="Times New Roman"/>
        </w:rPr>
        <w:t xml:space="preserve"> 1975.1204,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986/1984, </w:t>
      </w:r>
      <w:proofErr w:type="spellStart"/>
      <w:r w:rsidRPr="000D1D78">
        <w:rPr>
          <w:rFonts w:ascii="Times New Roman" w:hAnsi="Times New Roman" w:cs="Times New Roman"/>
        </w:rPr>
        <w:t>ΝοΒ</w:t>
      </w:r>
      <w:proofErr w:type="spellEnd"/>
      <w:r w:rsidRPr="000D1D78">
        <w:rPr>
          <w:rFonts w:ascii="Times New Roman" w:hAnsi="Times New Roman" w:cs="Times New Roman"/>
        </w:rPr>
        <w:t xml:space="preserve"> 1984.935,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2004/1991, </w:t>
      </w:r>
      <w:proofErr w:type="spellStart"/>
      <w:r w:rsidRPr="000D1D78">
        <w:rPr>
          <w:rFonts w:ascii="Times New Roman" w:hAnsi="Times New Roman" w:cs="Times New Roman"/>
        </w:rPr>
        <w:t>ΕλλΔνη</w:t>
      </w:r>
      <w:proofErr w:type="spellEnd"/>
      <w:r w:rsidRPr="000D1D78">
        <w:rPr>
          <w:rFonts w:ascii="Times New Roman" w:hAnsi="Times New Roman" w:cs="Times New Roman"/>
        </w:rPr>
        <w:t xml:space="preserve"> 1992.922</w:t>
      </w:r>
    </w:p>
  </w:footnote>
  <w:footnote w:id="5">
    <w:p w14:paraId="3D167EFB" w14:textId="77777777" w:rsidR="00920223" w:rsidRPr="000D1D78" w:rsidRDefault="00920223"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Η, </w:t>
      </w:r>
      <w:r w:rsidRPr="000D1D78">
        <w:rPr>
          <w:rFonts w:ascii="Times New Roman" w:hAnsi="Times New Roman" w:cs="Times New Roman"/>
          <w:color w:val="212125"/>
          <w:shd w:val="clear" w:color="auto" w:fill="E8E8E6"/>
        </w:rPr>
        <w:t>προς την κατεύθυνση κατοχύρωσης της θρησκευτικής ουδετερότητας του κράτους κατατεθείσα διάταξη έλαβε  </w:t>
      </w:r>
      <w:r w:rsidRPr="000D1D78">
        <w:rPr>
          <w:rFonts w:ascii="Times New Roman" w:hAnsi="Times New Roman" w:cs="Times New Roman"/>
          <w:bCs/>
          <w:color w:val="212125"/>
          <w:shd w:val="clear" w:color="auto" w:fill="E8E8E6"/>
        </w:rPr>
        <w:t xml:space="preserve">156 θετικές και  101 αρνητικές ψήφους, όταν στην </w:t>
      </w:r>
      <w:r w:rsidRPr="000D1D78">
        <w:rPr>
          <w:rFonts w:ascii="Times New Roman" w:hAnsi="Times New Roman" w:cs="Times New Roman"/>
          <w:color w:val="212125"/>
          <w:shd w:val="clear" w:color="auto" w:fill="E8E8E6"/>
        </w:rPr>
        <w:t xml:space="preserve"> πρώτη ψηφοφορία, η διάταξη είχε λάβει 151 θετικές, 102 αρνητικές και 19 παρών</w:t>
      </w:r>
    </w:p>
  </w:footnote>
  <w:footnote w:id="6">
    <w:p w14:paraId="3D167EFC" w14:textId="77777777" w:rsidR="00C46F13" w:rsidRPr="000D1D78" w:rsidRDefault="00C46F13"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Ενδεικτικώς: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756/1952, ΕΕΝ 1952.249, </w:t>
      </w:r>
      <w:proofErr w:type="spellStart"/>
      <w:r w:rsidRPr="000D1D78">
        <w:rPr>
          <w:rFonts w:ascii="Times New Roman" w:hAnsi="Times New Roman" w:cs="Times New Roman"/>
        </w:rPr>
        <w:t>ΓνμδΕισΑΠ</w:t>
      </w:r>
      <w:proofErr w:type="spellEnd"/>
      <w:r w:rsidRPr="000D1D78">
        <w:rPr>
          <w:rFonts w:ascii="Times New Roman" w:hAnsi="Times New Roman" w:cs="Times New Roman"/>
        </w:rPr>
        <w:t xml:space="preserve"> 11/1926 Θ 1926.575,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2276/1953, </w:t>
      </w:r>
      <w:proofErr w:type="spellStart"/>
      <w:r w:rsidRPr="000D1D78">
        <w:rPr>
          <w:rFonts w:ascii="Times New Roman" w:hAnsi="Times New Roman" w:cs="Times New Roman"/>
        </w:rPr>
        <w:t>ΝοΒ</w:t>
      </w:r>
      <w:proofErr w:type="spellEnd"/>
      <w:r w:rsidRPr="000D1D78">
        <w:rPr>
          <w:rFonts w:ascii="Times New Roman" w:hAnsi="Times New Roman" w:cs="Times New Roman"/>
        </w:rPr>
        <w:t xml:space="preserve"> 1954.298</w:t>
      </w:r>
    </w:p>
  </w:footnote>
  <w:footnote w:id="7">
    <w:p w14:paraId="3D167EFD" w14:textId="77777777" w:rsidR="00EF0618" w:rsidRPr="000D1D78" w:rsidRDefault="00EF0618"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866/1974, </w:t>
      </w:r>
      <w:proofErr w:type="spellStart"/>
      <w:r w:rsidRPr="000D1D78">
        <w:rPr>
          <w:rFonts w:ascii="Times New Roman" w:hAnsi="Times New Roman" w:cs="Times New Roman"/>
        </w:rPr>
        <w:t>ΣτΕ</w:t>
      </w:r>
      <w:proofErr w:type="spellEnd"/>
      <w:r w:rsidRPr="000D1D78">
        <w:rPr>
          <w:rFonts w:ascii="Times New Roman" w:hAnsi="Times New Roman" w:cs="Times New Roman"/>
        </w:rPr>
        <w:t xml:space="preserve"> 4045/1983</w:t>
      </w:r>
    </w:p>
  </w:footnote>
  <w:footnote w:id="8">
    <w:p w14:paraId="3D167EFE" w14:textId="77777777" w:rsidR="00EF0618" w:rsidRPr="000D1D78" w:rsidRDefault="00EF0618"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Βλ. Ι.Μ. Κονιδάρης, (Με τη συνεργασία Γ.Ι. Ανδρουτσόπουλου) </w:t>
      </w:r>
      <w:proofErr w:type="spellStart"/>
      <w:r w:rsidRPr="000D1D78">
        <w:rPr>
          <w:rFonts w:ascii="Times New Roman" w:hAnsi="Times New Roman" w:cs="Times New Roman"/>
        </w:rPr>
        <w:t>ο.π</w:t>
      </w:r>
      <w:proofErr w:type="spellEnd"/>
      <w:r w:rsidRPr="000D1D78">
        <w:rPr>
          <w:rFonts w:ascii="Times New Roman" w:hAnsi="Times New Roman" w:cs="Times New Roman"/>
        </w:rPr>
        <w:t>. σελ. 304</w:t>
      </w:r>
    </w:p>
    <w:p w14:paraId="3D167EFF" w14:textId="77777777" w:rsidR="00EF0618" w:rsidRPr="000D1D78" w:rsidRDefault="00EF0618" w:rsidP="000D1D78">
      <w:pPr>
        <w:pStyle w:val="a6"/>
        <w:spacing w:line="276" w:lineRule="auto"/>
        <w:jc w:val="both"/>
        <w:rPr>
          <w:rFonts w:ascii="Times New Roman" w:hAnsi="Times New Roman" w:cs="Times New Roman"/>
        </w:rPr>
      </w:pPr>
    </w:p>
  </w:footnote>
  <w:footnote w:id="9">
    <w:p w14:paraId="3D167F00" w14:textId="0EDD2F5A" w:rsidR="00EF0618" w:rsidRPr="000D1D78" w:rsidRDefault="00EF0618"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w:t>
      </w:r>
      <w:r w:rsidR="00D75620" w:rsidRPr="000D1D78">
        <w:rPr>
          <w:rFonts w:ascii="Times New Roman" w:hAnsi="Times New Roman" w:cs="Times New Roman"/>
        </w:rPr>
        <w:t>Μ.</w:t>
      </w:r>
      <w:r w:rsidR="000D1D78" w:rsidRPr="000D1D78">
        <w:rPr>
          <w:rFonts w:ascii="Times New Roman" w:hAnsi="Times New Roman" w:cs="Times New Roman"/>
        </w:rPr>
        <w:t xml:space="preserve"> </w:t>
      </w:r>
      <w:r w:rsidR="00D75620" w:rsidRPr="000D1D78">
        <w:rPr>
          <w:rFonts w:ascii="Times New Roman" w:hAnsi="Times New Roman" w:cs="Times New Roman"/>
        </w:rPr>
        <w:t>Σταθόπουλος, Θρησκευτική ελευθερία:</w:t>
      </w:r>
      <w:r w:rsidR="000D1D78" w:rsidRPr="000D1D78">
        <w:rPr>
          <w:rFonts w:ascii="Times New Roman" w:hAnsi="Times New Roman" w:cs="Times New Roman"/>
        </w:rPr>
        <w:t xml:space="preserve"> </w:t>
      </w:r>
      <w:r w:rsidR="00D75620" w:rsidRPr="000D1D78">
        <w:rPr>
          <w:rFonts w:ascii="Times New Roman" w:hAnsi="Times New Roman" w:cs="Times New Roman"/>
        </w:rPr>
        <w:t>ανθρώπινα δικαιώματα και Εκκλησία, Μελέτες Ι, 2007, σελ.364</w:t>
      </w:r>
    </w:p>
  </w:footnote>
  <w:footnote w:id="10">
    <w:p w14:paraId="3D167F01" w14:textId="77777777" w:rsidR="00F03197" w:rsidRPr="000D1D78" w:rsidRDefault="00F03197" w:rsidP="000D1D78">
      <w:pPr>
        <w:pStyle w:val="Web"/>
        <w:shd w:val="clear" w:color="auto" w:fill="FFFFFF"/>
        <w:spacing w:before="0" w:beforeAutospacing="0" w:after="45" w:afterAutospacing="0" w:line="276" w:lineRule="auto"/>
        <w:jc w:val="both"/>
        <w:rPr>
          <w:color w:val="212529"/>
          <w:sz w:val="20"/>
          <w:szCs w:val="20"/>
        </w:rPr>
      </w:pPr>
      <w:r w:rsidRPr="000D1D78">
        <w:rPr>
          <w:rStyle w:val="a7"/>
          <w:sz w:val="20"/>
          <w:szCs w:val="20"/>
        </w:rPr>
        <w:footnoteRef/>
      </w:r>
      <w:r w:rsidRPr="000D1D78">
        <w:rPr>
          <w:sz w:val="20"/>
          <w:szCs w:val="20"/>
        </w:rPr>
        <w:t xml:space="preserve"> </w:t>
      </w:r>
      <w:r w:rsidRPr="000D1D78">
        <w:rPr>
          <w:rStyle w:val="a3"/>
          <w:b w:val="0"/>
          <w:color w:val="212529"/>
          <w:sz w:val="20"/>
          <w:szCs w:val="20"/>
        </w:rPr>
        <w:t xml:space="preserve">Ν. 3386/2005 </w:t>
      </w:r>
      <w:r w:rsidR="00950FD6" w:rsidRPr="000D1D78">
        <w:rPr>
          <w:rStyle w:val="a3"/>
          <w:b w:val="0"/>
          <w:color w:val="212529"/>
          <w:sz w:val="20"/>
          <w:szCs w:val="20"/>
        </w:rPr>
        <w:t>αρθρ. 39</w:t>
      </w:r>
    </w:p>
    <w:p w14:paraId="3D167F02" w14:textId="77777777" w:rsidR="00F03197" w:rsidRPr="000D1D78" w:rsidRDefault="00F03197" w:rsidP="000D1D78">
      <w:pPr>
        <w:pStyle w:val="a6"/>
        <w:spacing w:line="276" w:lineRule="auto"/>
        <w:jc w:val="both"/>
        <w:rPr>
          <w:rFonts w:ascii="Times New Roman" w:hAnsi="Times New Roman" w:cs="Times New Roman"/>
        </w:rPr>
      </w:pPr>
    </w:p>
  </w:footnote>
  <w:footnote w:id="11">
    <w:p w14:paraId="3D167F03" w14:textId="77777777" w:rsidR="00686F72" w:rsidRPr="000D1D78" w:rsidRDefault="00686F72" w:rsidP="000D1D78">
      <w:pPr>
        <w:pStyle w:val="a6"/>
        <w:spacing w:line="276" w:lineRule="auto"/>
        <w:jc w:val="both"/>
        <w:rPr>
          <w:rFonts w:ascii="Times New Roman" w:hAnsi="Times New Roman" w:cs="Times New Roman"/>
        </w:rPr>
      </w:pPr>
      <w:r w:rsidRPr="000D1D78">
        <w:rPr>
          <w:rStyle w:val="a7"/>
          <w:rFonts w:ascii="Times New Roman" w:hAnsi="Times New Roman" w:cs="Times New Roman"/>
        </w:rPr>
        <w:footnoteRef/>
      </w:r>
      <w:r w:rsidRPr="000D1D78">
        <w:rPr>
          <w:rFonts w:ascii="Times New Roman" w:hAnsi="Times New Roman" w:cs="Times New Roman"/>
        </w:rPr>
        <w:t xml:space="preserve"> </w:t>
      </w:r>
      <w:proofErr w:type="spellStart"/>
      <w:r w:rsidRPr="000D1D78">
        <w:rPr>
          <w:rFonts w:ascii="Times New Roman" w:hAnsi="Times New Roman" w:cs="Times New Roman"/>
        </w:rPr>
        <w:t>Γ.Ράμμος</w:t>
      </w:r>
      <w:proofErr w:type="spellEnd"/>
      <w:r w:rsidRPr="000D1D78">
        <w:rPr>
          <w:rFonts w:ascii="Times New Roman" w:hAnsi="Times New Roman" w:cs="Times New Roman"/>
        </w:rPr>
        <w:t xml:space="preserve">, Ο τύπος του όρκου των </w:t>
      </w:r>
      <w:proofErr w:type="spellStart"/>
      <w:r w:rsidRPr="000D1D78">
        <w:rPr>
          <w:rFonts w:ascii="Times New Roman" w:hAnsi="Times New Roman" w:cs="Times New Roman"/>
        </w:rPr>
        <w:t>αθέων</w:t>
      </w:r>
      <w:proofErr w:type="spellEnd"/>
      <w:r w:rsidRPr="000D1D78">
        <w:rPr>
          <w:rFonts w:ascii="Times New Roman" w:hAnsi="Times New Roman" w:cs="Times New Roman"/>
        </w:rPr>
        <w:t xml:space="preserve">, Παρατηρήσεις επί της με αρ. 1266/1933 </w:t>
      </w:r>
      <w:proofErr w:type="spellStart"/>
      <w:r w:rsidRPr="000D1D78">
        <w:rPr>
          <w:rFonts w:ascii="Times New Roman" w:hAnsi="Times New Roman" w:cs="Times New Roman"/>
        </w:rPr>
        <w:t>απάφασης</w:t>
      </w:r>
      <w:proofErr w:type="spellEnd"/>
      <w:r w:rsidRPr="000D1D78">
        <w:rPr>
          <w:rFonts w:ascii="Times New Roman" w:hAnsi="Times New Roman" w:cs="Times New Roman"/>
        </w:rPr>
        <w:t xml:space="preserve"> του Εφετείου Αθηνών, Θεολογία 46/1935, σελ. 350</w:t>
      </w:r>
    </w:p>
  </w:footnote>
  <w:footnote w:id="12">
    <w:p w14:paraId="3D167F04" w14:textId="566E3F80" w:rsidR="00686F72" w:rsidRDefault="00686F72" w:rsidP="000D1D78">
      <w:pPr>
        <w:pStyle w:val="a6"/>
        <w:spacing w:line="276" w:lineRule="auto"/>
        <w:jc w:val="both"/>
      </w:pPr>
      <w:r w:rsidRPr="000D1D78">
        <w:rPr>
          <w:rStyle w:val="a7"/>
          <w:rFonts w:ascii="Times New Roman" w:hAnsi="Times New Roman" w:cs="Times New Roman"/>
        </w:rPr>
        <w:footnoteRef/>
      </w:r>
      <w:r w:rsidRPr="000D1D78">
        <w:rPr>
          <w:rFonts w:ascii="Times New Roman" w:hAnsi="Times New Roman" w:cs="Times New Roman"/>
        </w:rPr>
        <w:t xml:space="preserve"> Ν.</w:t>
      </w:r>
      <w:r w:rsidR="000D1D78" w:rsidRPr="000D1D78">
        <w:rPr>
          <w:rFonts w:ascii="Times New Roman" w:hAnsi="Times New Roman" w:cs="Times New Roman"/>
        </w:rPr>
        <w:t xml:space="preserve"> </w:t>
      </w:r>
      <w:r w:rsidRPr="000D1D78">
        <w:rPr>
          <w:rFonts w:ascii="Times New Roman" w:hAnsi="Times New Roman" w:cs="Times New Roman"/>
        </w:rPr>
        <w:t>Δημαράς, Η αντισυνταγματικότητα του θρησκευτικού όρκου, Δίκη 31/2000, σελ. 864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A630B"/>
    <w:multiLevelType w:val="multilevel"/>
    <w:tmpl w:val="EDE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E0F20"/>
    <w:multiLevelType w:val="multilevel"/>
    <w:tmpl w:val="FE22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95607F"/>
    <w:multiLevelType w:val="multilevel"/>
    <w:tmpl w:val="44500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5904B3"/>
    <w:multiLevelType w:val="multilevel"/>
    <w:tmpl w:val="0194D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094F19"/>
    <w:multiLevelType w:val="multilevel"/>
    <w:tmpl w:val="8E12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32FAC"/>
    <w:multiLevelType w:val="multilevel"/>
    <w:tmpl w:val="50C89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4A3146"/>
    <w:multiLevelType w:val="multilevel"/>
    <w:tmpl w:val="F08C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6F7A7A"/>
    <w:multiLevelType w:val="multilevel"/>
    <w:tmpl w:val="E7F06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2963300">
    <w:abstractNumId w:val="1"/>
  </w:num>
  <w:num w:numId="2" w16cid:durableId="1812870048">
    <w:abstractNumId w:val="0"/>
  </w:num>
  <w:num w:numId="3" w16cid:durableId="1024744311">
    <w:abstractNumId w:val="4"/>
  </w:num>
  <w:num w:numId="4" w16cid:durableId="2073430940">
    <w:abstractNumId w:val="5"/>
  </w:num>
  <w:num w:numId="5" w16cid:durableId="1130900942">
    <w:abstractNumId w:val="7"/>
  </w:num>
  <w:num w:numId="6" w16cid:durableId="413204974">
    <w:abstractNumId w:val="2"/>
  </w:num>
  <w:num w:numId="7" w16cid:durableId="802431018">
    <w:abstractNumId w:val="6"/>
  </w:num>
  <w:num w:numId="8" w16cid:durableId="6852111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1A8C"/>
    <w:rsid w:val="00004717"/>
    <w:rsid w:val="00054B15"/>
    <w:rsid w:val="00057711"/>
    <w:rsid w:val="000D1D78"/>
    <w:rsid w:val="000D24FE"/>
    <w:rsid w:val="000E4031"/>
    <w:rsid w:val="000E7515"/>
    <w:rsid w:val="00131A8C"/>
    <w:rsid w:val="001901E9"/>
    <w:rsid w:val="001A17FB"/>
    <w:rsid w:val="002D7B15"/>
    <w:rsid w:val="002E60F3"/>
    <w:rsid w:val="0038215E"/>
    <w:rsid w:val="00386332"/>
    <w:rsid w:val="00390C3E"/>
    <w:rsid w:val="003B6CEA"/>
    <w:rsid w:val="003C67DE"/>
    <w:rsid w:val="003E08AF"/>
    <w:rsid w:val="003E41EB"/>
    <w:rsid w:val="003E4C5E"/>
    <w:rsid w:val="00413D2C"/>
    <w:rsid w:val="00420C12"/>
    <w:rsid w:val="00496268"/>
    <w:rsid w:val="004B0D2F"/>
    <w:rsid w:val="004F78A4"/>
    <w:rsid w:val="005034FD"/>
    <w:rsid w:val="00515378"/>
    <w:rsid w:val="00572E42"/>
    <w:rsid w:val="005B3869"/>
    <w:rsid w:val="005D65FD"/>
    <w:rsid w:val="00627FAB"/>
    <w:rsid w:val="0065233B"/>
    <w:rsid w:val="00676092"/>
    <w:rsid w:val="00681FA3"/>
    <w:rsid w:val="00686F72"/>
    <w:rsid w:val="00694B32"/>
    <w:rsid w:val="006C7A42"/>
    <w:rsid w:val="006D1B3A"/>
    <w:rsid w:val="00701DDB"/>
    <w:rsid w:val="00756A29"/>
    <w:rsid w:val="00764253"/>
    <w:rsid w:val="007C326D"/>
    <w:rsid w:val="007D2091"/>
    <w:rsid w:val="00802511"/>
    <w:rsid w:val="0080389F"/>
    <w:rsid w:val="00871EBB"/>
    <w:rsid w:val="00891189"/>
    <w:rsid w:val="008A7FBC"/>
    <w:rsid w:val="008D690E"/>
    <w:rsid w:val="00920223"/>
    <w:rsid w:val="00950FD6"/>
    <w:rsid w:val="0096184B"/>
    <w:rsid w:val="00972374"/>
    <w:rsid w:val="009919DD"/>
    <w:rsid w:val="009E68DE"/>
    <w:rsid w:val="00A07FD6"/>
    <w:rsid w:val="00A3617C"/>
    <w:rsid w:val="00A4210A"/>
    <w:rsid w:val="00A50140"/>
    <w:rsid w:val="00A55F30"/>
    <w:rsid w:val="00A67399"/>
    <w:rsid w:val="00A94DBE"/>
    <w:rsid w:val="00B15E93"/>
    <w:rsid w:val="00B75931"/>
    <w:rsid w:val="00BA74AB"/>
    <w:rsid w:val="00BF5897"/>
    <w:rsid w:val="00C1064A"/>
    <w:rsid w:val="00C46F13"/>
    <w:rsid w:val="00C80F7C"/>
    <w:rsid w:val="00D124E7"/>
    <w:rsid w:val="00D2732C"/>
    <w:rsid w:val="00D42EFC"/>
    <w:rsid w:val="00D75620"/>
    <w:rsid w:val="00D91322"/>
    <w:rsid w:val="00DB1A57"/>
    <w:rsid w:val="00DC18AE"/>
    <w:rsid w:val="00DC71E7"/>
    <w:rsid w:val="00E07BDB"/>
    <w:rsid w:val="00EF0618"/>
    <w:rsid w:val="00F03197"/>
    <w:rsid w:val="00F66319"/>
    <w:rsid w:val="00FC6A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67EB8"/>
  <w15:docId w15:val="{D6973156-C74B-47E2-A259-1765EB8D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4253"/>
  </w:style>
  <w:style w:type="paragraph" w:styleId="1">
    <w:name w:val="heading 1"/>
    <w:basedOn w:val="a"/>
    <w:next w:val="a"/>
    <w:link w:val="1Char"/>
    <w:uiPriority w:val="9"/>
    <w:qFormat/>
    <w:rsid w:val="00420C12"/>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Char"/>
    <w:uiPriority w:val="9"/>
    <w:unhideWhenUsed/>
    <w:qFormat/>
    <w:rsid w:val="00131A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131A8C"/>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link w:val="4Char"/>
    <w:uiPriority w:val="9"/>
    <w:qFormat/>
    <w:rsid w:val="00131A8C"/>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131A8C"/>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uiPriority w:val="9"/>
    <w:rsid w:val="00131A8C"/>
    <w:rPr>
      <w:rFonts w:ascii="Times New Roman" w:eastAsia="Times New Roman" w:hAnsi="Times New Roman" w:cs="Times New Roman"/>
      <w:b/>
      <w:bCs/>
      <w:sz w:val="24"/>
      <w:szCs w:val="24"/>
      <w:lang w:eastAsia="el-GR"/>
    </w:rPr>
  </w:style>
  <w:style w:type="paragraph" w:styleId="Web">
    <w:name w:val="Normal (Web)"/>
    <w:basedOn w:val="a"/>
    <w:uiPriority w:val="99"/>
    <w:semiHidden/>
    <w:unhideWhenUsed/>
    <w:rsid w:val="00131A8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131A8C"/>
    <w:rPr>
      <w:b/>
      <w:bCs/>
    </w:rPr>
  </w:style>
  <w:style w:type="character" w:customStyle="1" w:styleId="2Char">
    <w:name w:val="Επικεφαλίδα 2 Char"/>
    <w:basedOn w:val="a0"/>
    <w:link w:val="2"/>
    <w:uiPriority w:val="9"/>
    <w:rsid w:val="00131A8C"/>
    <w:rPr>
      <w:rFonts w:asciiTheme="majorHAnsi" w:eastAsiaTheme="majorEastAsia" w:hAnsiTheme="majorHAnsi" w:cstheme="majorBidi"/>
      <w:b/>
      <w:bCs/>
      <w:color w:val="4F81BD" w:themeColor="accent1"/>
      <w:sz w:val="26"/>
      <w:szCs w:val="26"/>
    </w:rPr>
  </w:style>
  <w:style w:type="character" w:customStyle="1" w:styleId="relative">
    <w:name w:val="relative"/>
    <w:basedOn w:val="a0"/>
    <w:rsid w:val="00131A8C"/>
  </w:style>
  <w:style w:type="character" w:customStyle="1" w:styleId="ms-1">
    <w:name w:val="ms-1"/>
    <w:basedOn w:val="a0"/>
    <w:rsid w:val="00131A8C"/>
  </w:style>
  <w:style w:type="character" w:customStyle="1" w:styleId="max-w-full">
    <w:name w:val="max-w-full"/>
    <w:basedOn w:val="a0"/>
    <w:rsid w:val="00131A8C"/>
  </w:style>
  <w:style w:type="character" w:customStyle="1" w:styleId="-me-1">
    <w:name w:val="-me-1"/>
    <w:basedOn w:val="a0"/>
    <w:rsid w:val="00131A8C"/>
  </w:style>
  <w:style w:type="character" w:customStyle="1" w:styleId="1Char">
    <w:name w:val="Επικεφαλίδα 1 Char"/>
    <w:basedOn w:val="a0"/>
    <w:link w:val="1"/>
    <w:uiPriority w:val="9"/>
    <w:rsid w:val="00420C12"/>
    <w:rPr>
      <w:rFonts w:asciiTheme="majorHAnsi" w:eastAsiaTheme="majorEastAsia" w:hAnsiTheme="majorHAnsi" w:cstheme="majorBidi"/>
      <w:b/>
      <w:bCs/>
      <w:color w:val="365F91" w:themeColor="accent1" w:themeShade="BF"/>
      <w:sz w:val="28"/>
      <w:szCs w:val="28"/>
      <w:lang w:val="en-US"/>
    </w:rPr>
  </w:style>
  <w:style w:type="paragraph" w:styleId="a4">
    <w:name w:val="No Spacing"/>
    <w:uiPriority w:val="1"/>
    <w:qFormat/>
    <w:rsid w:val="00A94DBE"/>
    <w:pPr>
      <w:spacing w:after="0" w:line="240" w:lineRule="auto"/>
    </w:pPr>
  </w:style>
  <w:style w:type="character" w:styleId="a5">
    <w:name w:val="Subtle Emphasis"/>
    <w:uiPriority w:val="19"/>
    <w:qFormat/>
    <w:rsid w:val="00891189"/>
    <w:rPr>
      <w:i/>
      <w:iCs/>
    </w:rPr>
  </w:style>
  <w:style w:type="paragraph" w:styleId="a6">
    <w:name w:val="footnote text"/>
    <w:basedOn w:val="a"/>
    <w:link w:val="Char"/>
    <w:uiPriority w:val="99"/>
    <w:semiHidden/>
    <w:unhideWhenUsed/>
    <w:rsid w:val="00F66319"/>
    <w:pPr>
      <w:spacing w:after="0" w:line="240" w:lineRule="auto"/>
    </w:pPr>
    <w:rPr>
      <w:sz w:val="20"/>
      <w:szCs w:val="20"/>
    </w:rPr>
  </w:style>
  <w:style w:type="character" w:customStyle="1" w:styleId="Char">
    <w:name w:val="Κείμενο υποσημείωσης Char"/>
    <w:basedOn w:val="a0"/>
    <w:link w:val="a6"/>
    <w:uiPriority w:val="99"/>
    <w:semiHidden/>
    <w:rsid w:val="00F66319"/>
    <w:rPr>
      <w:sz w:val="20"/>
      <w:szCs w:val="20"/>
    </w:rPr>
  </w:style>
  <w:style w:type="character" w:styleId="a7">
    <w:name w:val="footnote reference"/>
    <w:basedOn w:val="a0"/>
    <w:uiPriority w:val="99"/>
    <w:semiHidden/>
    <w:unhideWhenUsed/>
    <w:rsid w:val="00F66319"/>
    <w:rPr>
      <w:vertAlign w:val="superscript"/>
    </w:rPr>
  </w:style>
  <w:style w:type="paragraph" w:styleId="a8">
    <w:name w:val="Body Text"/>
    <w:basedOn w:val="a"/>
    <w:link w:val="Char0"/>
    <w:uiPriority w:val="1"/>
    <w:qFormat/>
    <w:rsid w:val="0038215E"/>
    <w:pPr>
      <w:widowControl w:val="0"/>
      <w:autoSpaceDE w:val="0"/>
      <w:autoSpaceDN w:val="0"/>
      <w:spacing w:after="0" w:line="240" w:lineRule="auto"/>
      <w:ind w:left="425"/>
    </w:pPr>
    <w:rPr>
      <w:rFonts w:ascii="Trebuchet MS" w:eastAsia="Trebuchet MS" w:hAnsi="Trebuchet MS" w:cs="Trebuchet MS"/>
    </w:rPr>
  </w:style>
  <w:style w:type="character" w:customStyle="1" w:styleId="Char0">
    <w:name w:val="Σώμα κειμένου Char"/>
    <w:basedOn w:val="a0"/>
    <w:link w:val="a8"/>
    <w:uiPriority w:val="1"/>
    <w:rsid w:val="0038215E"/>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3177">
      <w:bodyDiv w:val="1"/>
      <w:marLeft w:val="0"/>
      <w:marRight w:val="0"/>
      <w:marTop w:val="0"/>
      <w:marBottom w:val="0"/>
      <w:divBdr>
        <w:top w:val="none" w:sz="0" w:space="0" w:color="auto"/>
        <w:left w:val="none" w:sz="0" w:space="0" w:color="auto"/>
        <w:bottom w:val="none" w:sz="0" w:space="0" w:color="auto"/>
        <w:right w:val="none" w:sz="0" w:space="0" w:color="auto"/>
      </w:divBdr>
      <w:divsChild>
        <w:div w:id="162861339">
          <w:marLeft w:val="0"/>
          <w:marRight w:val="0"/>
          <w:marTop w:val="0"/>
          <w:marBottom w:val="0"/>
          <w:divBdr>
            <w:top w:val="none" w:sz="0" w:space="0" w:color="auto"/>
            <w:left w:val="none" w:sz="0" w:space="0" w:color="auto"/>
            <w:bottom w:val="none" w:sz="0" w:space="0" w:color="auto"/>
            <w:right w:val="none" w:sz="0" w:space="0" w:color="auto"/>
          </w:divBdr>
        </w:div>
        <w:div w:id="1153722299">
          <w:marLeft w:val="0"/>
          <w:marRight w:val="0"/>
          <w:marTop w:val="0"/>
          <w:marBottom w:val="0"/>
          <w:divBdr>
            <w:top w:val="none" w:sz="0" w:space="0" w:color="auto"/>
            <w:left w:val="none" w:sz="0" w:space="0" w:color="auto"/>
            <w:bottom w:val="none" w:sz="0" w:space="0" w:color="auto"/>
            <w:right w:val="none" w:sz="0" w:space="0" w:color="auto"/>
          </w:divBdr>
        </w:div>
      </w:divsChild>
    </w:div>
    <w:div w:id="993417360">
      <w:bodyDiv w:val="1"/>
      <w:marLeft w:val="0"/>
      <w:marRight w:val="0"/>
      <w:marTop w:val="0"/>
      <w:marBottom w:val="0"/>
      <w:divBdr>
        <w:top w:val="none" w:sz="0" w:space="0" w:color="auto"/>
        <w:left w:val="none" w:sz="0" w:space="0" w:color="auto"/>
        <w:bottom w:val="none" w:sz="0" w:space="0" w:color="auto"/>
        <w:right w:val="none" w:sz="0" w:space="0" w:color="auto"/>
      </w:divBdr>
    </w:div>
    <w:div w:id="1147091601">
      <w:bodyDiv w:val="1"/>
      <w:marLeft w:val="0"/>
      <w:marRight w:val="0"/>
      <w:marTop w:val="0"/>
      <w:marBottom w:val="0"/>
      <w:divBdr>
        <w:top w:val="none" w:sz="0" w:space="0" w:color="auto"/>
        <w:left w:val="none" w:sz="0" w:space="0" w:color="auto"/>
        <w:bottom w:val="none" w:sz="0" w:space="0" w:color="auto"/>
        <w:right w:val="none" w:sz="0" w:space="0" w:color="auto"/>
      </w:divBdr>
    </w:div>
    <w:div w:id="152878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Version="6"/>
</file>

<file path=customXml/itemProps1.xml><?xml version="1.0" encoding="utf-8"?>
<ds:datastoreItem xmlns:ds="http://schemas.openxmlformats.org/officeDocument/2006/customXml" ds:itemID="{FEDF7651-8D9E-481D-8A55-9950CD085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2171</Words>
  <Characters>11728</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Ζωή Καραμήτρου</dc:creator>
  <cp:lastModifiedBy>vasiliki marouli</cp:lastModifiedBy>
  <cp:revision>5</cp:revision>
  <dcterms:created xsi:type="dcterms:W3CDTF">2025-06-17T14:44:00Z</dcterms:created>
  <dcterms:modified xsi:type="dcterms:W3CDTF">2025-08-05T09:08:00Z</dcterms:modified>
</cp:coreProperties>
</file>